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A1" w:rsidRPr="00F03B5F" w:rsidRDefault="004B0D3C" w:rsidP="00130EA1">
      <w:pPr>
        <w:pStyle w:val="2"/>
        <w:spacing w:line="480" w:lineRule="auto"/>
        <w:ind w:firstLineChars="0" w:firstLine="0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 xml:space="preserve">Supporting Information S5: Topics with neutral </w:t>
      </w:r>
      <w:bookmarkStart w:id="0" w:name="_GoBack"/>
      <w:bookmarkEnd w:id="0"/>
      <w:r w:rsidR="00130EA1" w:rsidRPr="00F03B5F">
        <w:rPr>
          <w:rFonts w:hint="eastAsia"/>
          <w:sz w:val="21"/>
          <w:szCs w:val="21"/>
          <w:lang w:val="en-US"/>
        </w:rPr>
        <w:t>meanings used in Experiment 3</w:t>
      </w:r>
    </w:p>
    <w:p w:rsidR="00130EA1" w:rsidRPr="00F03B5F" w:rsidRDefault="00130EA1" w:rsidP="00130EA1">
      <w:pPr>
        <w:pStyle w:val="cognition"/>
        <w:ind w:firstLineChars="0" w:firstLine="0"/>
        <w:rPr>
          <w:rFonts w:eastAsia="ＭＳ 明朝"/>
          <w:lang w:val="en-US" w:eastAsia="ja-JP"/>
        </w:rPr>
      </w:pPr>
      <w:r w:rsidRPr="00F03B5F">
        <w:rPr>
          <w:rFonts w:eastAsia="Malgun Gothic" w:hint="eastAsia"/>
          <w:lang w:val="en-US" w:eastAsia="ko-KR"/>
        </w:rPr>
        <w:t>The topic c</w:t>
      </w:r>
      <w:r w:rsidRPr="00F03B5F">
        <w:rPr>
          <w:lang w:val="en-US"/>
        </w:rPr>
        <w:t xml:space="preserve">andidates were 49 Japanese abstract nouns selected from the </w:t>
      </w:r>
      <w:r w:rsidRPr="00F03B5F">
        <w:rPr>
          <w:rFonts w:eastAsia="Malgun Gothic" w:hint="eastAsia"/>
          <w:lang w:val="en-US" w:eastAsia="ko-KR"/>
        </w:rPr>
        <w:t xml:space="preserve">same </w:t>
      </w:r>
      <w:r w:rsidRPr="00F03B5F">
        <w:rPr>
          <w:lang w:val="en-US"/>
        </w:rPr>
        <w:t xml:space="preserve">Japanese thesaurus </w:t>
      </w:r>
      <w:r w:rsidR="00252D4C">
        <w:rPr>
          <w:rFonts w:eastAsia="ＭＳ 明朝" w:hint="eastAsia"/>
          <w:lang w:val="en-US" w:eastAsia="ja-JP"/>
        </w:rPr>
        <w:t>[1</w:t>
      </w:r>
      <w:r w:rsidRPr="00F03B5F">
        <w:rPr>
          <w:rFonts w:eastAsia="ＭＳ 明朝" w:hint="eastAsia"/>
          <w:lang w:val="en-US" w:eastAsia="ja-JP"/>
        </w:rPr>
        <w:t>]</w:t>
      </w:r>
      <w:r w:rsidRPr="00F03B5F">
        <w:rPr>
          <w:lang w:val="en-US"/>
        </w:rPr>
        <w:t xml:space="preserve"> </w:t>
      </w:r>
      <w:r w:rsidRPr="00F03B5F">
        <w:rPr>
          <w:rFonts w:eastAsia="Malgun Gothic" w:hint="eastAsia"/>
          <w:lang w:val="en-US" w:eastAsia="ko-KR"/>
        </w:rPr>
        <w:t xml:space="preserve">that were known to have </w:t>
      </w:r>
      <w:r w:rsidRPr="00F03B5F">
        <w:rPr>
          <w:lang w:val="en-US"/>
        </w:rPr>
        <w:t>high familiarity</w:t>
      </w:r>
      <w:r w:rsidR="00252D4C">
        <w:rPr>
          <w:rFonts w:eastAsia="ＭＳ 明朝" w:hint="eastAsia"/>
          <w:lang w:val="en-US" w:eastAsia="ja-JP"/>
        </w:rPr>
        <w:t xml:space="preserve"> [2</w:t>
      </w:r>
      <w:r w:rsidRPr="00F03B5F">
        <w:rPr>
          <w:rFonts w:eastAsia="ＭＳ 明朝" w:hint="eastAsia"/>
          <w:lang w:val="en-US" w:eastAsia="ja-JP"/>
        </w:rPr>
        <w:t>]</w:t>
      </w:r>
      <w:r w:rsidRPr="00F03B5F">
        <w:rPr>
          <w:lang w:val="en-US"/>
        </w:rPr>
        <w:t>. We conducted another pre-experiment to find nouns with neutral meanings. Participants in the pre-experiment rated the meanings of the 49 nouns. Ten Japanese males and females, aged 21</w:t>
      </w:r>
      <w:r>
        <w:rPr>
          <w:lang w:val="en-US"/>
        </w:rPr>
        <w:t>–</w:t>
      </w:r>
      <w:r w:rsidRPr="00F03B5F">
        <w:rPr>
          <w:lang w:val="en-US"/>
        </w:rPr>
        <w:t xml:space="preserve">37, were asked to rate </w:t>
      </w:r>
      <w:r w:rsidRPr="00F03B5F">
        <w:rPr>
          <w:rFonts w:eastAsia="Malgun Gothic" w:hint="eastAsia"/>
          <w:lang w:val="en-US" w:eastAsia="ko-KR"/>
        </w:rPr>
        <w:t xml:space="preserve">the </w:t>
      </w:r>
      <w:r w:rsidRPr="00F03B5F">
        <w:rPr>
          <w:lang w:val="en-US"/>
        </w:rPr>
        <w:t xml:space="preserve">meanings of </w:t>
      </w:r>
      <w:r w:rsidRPr="00F03B5F">
        <w:rPr>
          <w:rFonts w:eastAsia="Malgun Gothic" w:hint="eastAsia"/>
          <w:lang w:val="en-US" w:eastAsia="ko-KR"/>
        </w:rPr>
        <w:t xml:space="preserve">the 49 </w:t>
      </w:r>
      <w:r w:rsidRPr="00F03B5F">
        <w:rPr>
          <w:lang w:val="en-US"/>
        </w:rPr>
        <w:t xml:space="preserve">nouns on a </w:t>
      </w:r>
      <w:r w:rsidRPr="00F03B5F">
        <w:rPr>
          <w:rFonts w:eastAsia="ＭＳ 明朝" w:hint="eastAsia"/>
          <w:lang w:val="en-US" w:eastAsia="ja-JP"/>
        </w:rPr>
        <w:t>seven</w:t>
      </w:r>
      <w:r w:rsidRPr="00F03B5F">
        <w:rPr>
          <w:lang w:val="en-US"/>
        </w:rPr>
        <w:t xml:space="preserve">-point scale ranging from </w:t>
      </w:r>
      <w:r>
        <w:rPr>
          <w:lang w:val="en-US"/>
        </w:rPr>
        <w:t>−</w:t>
      </w:r>
      <w:r w:rsidRPr="00F03B5F">
        <w:rPr>
          <w:lang w:val="en-US"/>
        </w:rPr>
        <w:t>3 (extremely negative</w:t>
      </w:r>
      <w:r w:rsidRPr="00F03B5F">
        <w:rPr>
          <w:rFonts w:eastAsia="Malgun Gothic" w:hint="eastAsia"/>
          <w:lang w:val="en-US" w:eastAsia="ko-KR"/>
        </w:rPr>
        <w:t>)</w:t>
      </w:r>
      <w:r w:rsidRPr="00F03B5F">
        <w:rPr>
          <w:lang w:val="en-US"/>
        </w:rPr>
        <w:t xml:space="preserve"> through 0 (not sure) to +3 (extremely positive). We conducted t-tests (two-tailed, alpha level</w:t>
      </w:r>
      <w:r w:rsidRPr="00F03B5F">
        <w:rPr>
          <w:rFonts w:eastAsia="Malgun Gothic" w:hint="eastAsia"/>
          <w:lang w:val="en-US" w:eastAsia="ko-KR"/>
        </w:rPr>
        <w:t xml:space="preserve"> of</w:t>
      </w:r>
      <w:r w:rsidRPr="00F03B5F">
        <w:rPr>
          <w:lang w:val="en-US"/>
        </w:rPr>
        <w:t xml:space="preserve"> .05) between their mean values and “0” and selected </w:t>
      </w:r>
      <w:r w:rsidRPr="00F03B5F">
        <w:rPr>
          <w:rFonts w:eastAsia="Malgun Gothic" w:hint="eastAsia"/>
          <w:lang w:val="en-US" w:eastAsia="ko-KR"/>
        </w:rPr>
        <w:t xml:space="preserve">the </w:t>
      </w:r>
      <w:r w:rsidRPr="00F03B5F">
        <w:rPr>
          <w:lang w:val="en-US"/>
        </w:rPr>
        <w:t xml:space="preserve">nouns </w:t>
      </w:r>
      <w:r w:rsidRPr="00F03B5F">
        <w:rPr>
          <w:rFonts w:eastAsia="ＭＳ 明朝" w:hint="eastAsia"/>
          <w:lang w:val="en-US" w:eastAsia="ja-JP"/>
        </w:rPr>
        <w:t>that</w:t>
      </w:r>
      <w:r w:rsidRPr="00F03B5F">
        <w:rPr>
          <w:lang w:val="en-US"/>
        </w:rPr>
        <w:t xml:space="preserve"> ha</w:t>
      </w:r>
      <w:r w:rsidRPr="00F03B5F">
        <w:rPr>
          <w:rFonts w:eastAsia="Malgun Gothic" w:hint="eastAsia"/>
          <w:lang w:val="en-US" w:eastAsia="ko-KR"/>
        </w:rPr>
        <w:t>d</w:t>
      </w:r>
      <w:r w:rsidRPr="00F03B5F">
        <w:rPr>
          <w:lang w:val="en-US"/>
        </w:rPr>
        <w:t xml:space="preserve"> no significant difference from “0” </w:t>
      </w:r>
      <w:r w:rsidRPr="00F03B5F">
        <w:rPr>
          <w:rFonts w:eastAsia="Malgun Gothic" w:hint="eastAsia"/>
          <w:lang w:val="en-US" w:eastAsia="ko-KR"/>
        </w:rPr>
        <w:t xml:space="preserve">when compared </w:t>
      </w:r>
      <w:r w:rsidRPr="00F03B5F">
        <w:rPr>
          <w:rFonts w:eastAsia="ＭＳ 明朝" w:hint="eastAsia"/>
          <w:lang w:val="en-US" w:eastAsia="ja-JP"/>
        </w:rPr>
        <w:t>with</w:t>
      </w:r>
      <w:r w:rsidRPr="00F03B5F">
        <w:rPr>
          <w:rFonts w:eastAsia="Malgun Gothic" w:hint="eastAsia"/>
          <w:lang w:val="en-US" w:eastAsia="ko-KR"/>
        </w:rPr>
        <w:t xml:space="preserve"> </w:t>
      </w:r>
      <w:r w:rsidRPr="00F03B5F">
        <w:rPr>
          <w:lang w:val="en-US"/>
        </w:rPr>
        <w:t xml:space="preserve">those with neutral meanings. The following </w:t>
      </w:r>
      <w:r w:rsidRPr="00F03B5F">
        <w:rPr>
          <w:rFonts w:eastAsia="ＭＳ 明朝" w:hint="eastAsia"/>
          <w:lang w:val="en-US" w:eastAsia="ja-JP"/>
        </w:rPr>
        <w:t>seven</w:t>
      </w:r>
      <w:r w:rsidRPr="00F03B5F">
        <w:rPr>
          <w:lang w:val="en-US"/>
        </w:rPr>
        <w:t xml:space="preserve"> nouns were selected as topics with neutral meanings to be used </w:t>
      </w:r>
      <w:r w:rsidRPr="00F03B5F">
        <w:rPr>
          <w:rFonts w:eastAsia="Malgun Gothic" w:hint="eastAsia"/>
          <w:lang w:val="en-US" w:eastAsia="ko-KR"/>
        </w:rPr>
        <w:t xml:space="preserve">in </w:t>
      </w:r>
      <w:r w:rsidRPr="00F03B5F">
        <w:rPr>
          <w:rFonts w:eastAsia="ＭＳ 明朝" w:hint="eastAsia"/>
          <w:lang w:val="en-US" w:eastAsia="ja-JP"/>
        </w:rPr>
        <w:t>E</w:t>
      </w:r>
      <w:r w:rsidRPr="00F03B5F">
        <w:rPr>
          <w:lang w:val="en-US"/>
        </w:rPr>
        <w:t>xperiment</w:t>
      </w:r>
      <w:r w:rsidRPr="00F03B5F">
        <w:rPr>
          <w:rFonts w:eastAsia="ＭＳ 明朝" w:hint="eastAsia"/>
          <w:lang w:val="en-US" w:eastAsia="ja-JP"/>
        </w:rPr>
        <w:t xml:space="preserve"> 3</w:t>
      </w:r>
      <w:r w:rsidRPr="00F03B5F">
        <w:rPr>
          <w:lang w:val="en-US"/>
        </w:rPr>
        <w:t xml:space="preserve">: </w:t>
      </w:r>
      <w:r w:rsidRPr="00F03B5F">
        <w:rPr>
          <w:i/>
          <w:lang w:val="en-US"/>
        </w:rPr>
        <w:t>silence</w:t>
      </w:r>
      <w:r w:rsidRPr="00F03B5F">
        <w:rPr>
          <w:lang w:val="en-US"/>
        </w:rPr>
        <w:t xml:space="preserve"> (</w:t>
      </w:r>
      <w:r w:rsidRPr="00F03B5F">
        <w:rPr>
          <w:rFonts w:eastAsia="Malgun Gothic"/>
          <w:lang w:val="en-US" w:eastAsia="ko-KR"/>
        </w:rPr>
        <w:t>“</w:t>
      </w:r>
      <w:proofErr w:type="spellStart"/>
      <w:r w:rsidRPr="00F03B5F">
        <w:rPr>
          <w:lang w:val="en-US"/>
        </w:rPr>
        <w:t>seijaku</w:t>
      </w:r>
      <w:proofErr w:type="spellEnd"/>
      <w:r w:rsidRPr="00F03B5F">
        <w:rPr>
          <w:rFonts w:eastAsia="Malgun Gothic"/>
          <w:lang w:val="en-US" w:eastAsia="ko-KR"/>
        </w:rPr>
        <w:t>”</w:t>
      </w:r>
      <w:r w:rsidRPr="00F03B5F">
        <w:rPr>
          <w:lang w:val="en-US"/>
        </w:rPr>
        <w:t xml:space="preserve">), </w:t>
      </w:r>
      <w:r w:rsidRPr="00F03B5F">
        <w:rPr>
          <w:i/>
          <w:lang w:val="en-US"/>
        </w:rPr>
        <w:t xml:space="preserve">taste </w:t>
      </w:r>
      <w:r w:rsidRPr="00F03B5F">
        <w:rPr>
          <w:lang w:val="en-US"/>
        </w:rPr>
        <w:t>(</w:t>
      </w:r>
      <w:r w:rsidRPr="00F03B5F">
        <w:rPr>
          <w:rFonts w:eastAsia="Malgun Gothic"/>
          <w:lang w:val="en-US" w:eastAsia="ko-KR"/>
        </w:rPr>
        <w:t>“</w:t>
      </w:r>
      <w:proofErr w:type="spellStart"/>
      <w:r w:rsidRPr="00F03B5F">
        <w:rPr>
          <w:lang w:val="en-US"/>
        </w:rPr>
        <w:t>aji</w:t>
      </w:r>
      <w:proofErr w:type="spellEnd"/>
      <w:r w:rsidRPr="00F03B5F">
        <w:rPr>
          <w:rFonts w:eastAsia="Malgun Gothic"/>
          <w:lang w:val="en-US" w:eastAsia="ko-KR"/>
        </w:rPr>
        <w:t>”</w:t>
      </w:r>
      <w:r w:rsidRPr="00F03B5F">
        <w:rPr>
          <w:lang w:val="en-US"/>
        </w:rPr>
        <w:t xml:space="preserve">), </w:t>
      </w:r>
      <w:r w:rsidRPr="00F03B5F">
        <w:rPr>
          <w:i/>
          <w:lang w:val="en-US"/>
        </w:rPr>
        <w:t>today</w:t>
      </w:r>
      <w:r w:rsidRPr="00F03B5F">
        <w:rPr>
          <w:lang w:val="en-US"/>
        </w:rPr>
        <w:t xml:space="preserve"> (</w:t>
      </w:r>
      <w:r w:rsidRPr="00F03B5F">
        <w:rPr>
          <w:rFonts w:eastAsia="Malgun Gothic"/>
          <w:lang w:val="en-US" w:eastAsia="ko-KR"/>
        </w:rPr>
        <w:t>“</w:t>
      </w:r>
      <w:proofErr w:type="spellStart"/>
      <w:r w:rsidRPr="00F03B5F">
        <w:rPr>
          <w:lang w:val="en-US"/>
        </w:rPr>
        <w:t>genzai</w:t>
      </w:r>
      <w:proofErr w:type="spellEnd"/>
      <w:r w:rsidRPr="00F03B5F">
        <w:rPr>
          <w:rFonts w:eastAsia="Malgun Gothic"/>
          <w:lang w:val="en-US" w:eastAsia="ko-KR"/>
        </w:rPr>
        <w:t>”</w:t>
      </w:r>
      <w:r w:rsidRPr="00F03B5F">
        <w:rPr>
          <w:lang w:val="en-US"/>
        </w:rPr>
        <w:t xml:space="preserve">), </w:t>
      </w:r>
      <w:r w:rsidRPr="00F03B5F">
        <w:rPr>
          <w:i/>
          <w:lang w:val="en-US"/>
        </w:rPr>
        <w:t xml:space="preserve">footstep </w:t>
      </w:r>
      <w:r w:rsidRPr="00F03B5F">
        <w:rPr>
          <w:lang w:val="en-US"/>
        </w:rPr>
        <w:t>(</w:t>
      </w:r>
      <w:r w:rsidRPr="00F03B5F">
        <w:rPr>
          <w:rFonts w:eastAsia="Malgun Gothic"/>
          <w:lang w:val="en-US" w:eastAsia="ko-KR"/>
        </w:rPr>
        <w:t>“</w:t>
      </w:r>
      <w:proofErr w:type="spellStart"/>
      <w:r w:rsidRPr="00F03B5F">
        <w:rPr>
          <w:lang w:val="en-US"/>
        </w:rPr>
        <w:t>ashioto</w:t>
      </w:r>
      <w:proofErr w:type="spellEnd"/>
      <w:r w:rsidRPr="00F03B5F">
        <w:rPr>
          <w:rFonts w:eastAsia="Malgun Gothic"/>
          <w:lang w:val="en-US" w:eastAsia="ko-KR"/>
        </w:rPr>
        <w:t>”</w:t>
      </w:r>
      <w:r w:rsidRPr="00F03B5F">
        <w:rPr>
          <w:lang w:val="en-US"/>
        </w:rPr>
        <w:t xml:space="preserve">), </w:t>
      </w:r>
      <w:r w:rsidRPr="00F03B5F">
        <w:rPr>
          <w:i/>
          <w:lang w:val="en-US"/>
        </w:rPr>
        <w:t>touch</w:t>
      </w:r>
      <w:r w:rsidRPr="00F03B5F">
        <w:rPr>
          <w:lang w:val="en-US"/>
        </w:rPr>
        <w:t xml:space="preserve"> (“</w:t>
      </w:r>
      <w:proofErr w:type="spellStart"/>
      <w:r w:rsidRPr="00F03B5F">
        <w:rPr>
          <w:lang w:val="en-US"/>
        </w:rPr>
        <w:t>shokkaku</w:t>
      </w:r>
      <w:proofErr w:type="spellEnd"/>
      <w:r w:rsidRPr="00F03B5F">
        <w:rPr>
          <w:lang w:val="en-US"/>
        </w:rPr>
        <w:t xml:space="preserve">”), </w:t>
      </w:r>
      <w:r w:rsidRPr="00F03B5F">
        <w:rPr>
          <w:i/>
          <w:lang w:val="en-US"/>
        </w:rPr>
        <w:t>intention</w:t>
      </w:r>
      <w:r w:rsidRPr="00F03B5F">
        <w:rPr>
          <w:lang w:val="en-US"/>
        </w:rPr>
        <w:t xml:space="preserve"> (</w:t>
      </w:r>
      <w:r w:rsidRPr="00F03B5F">
        <w:rPr>
          <w:rFonts w:eastAsia="Malgun Gothic"/>
          <w:lang w:val="en-US" w:eastAsia="ko-KR"/>
        </w:rPr>
        <w:t>“</w:t>
      </w:r>
      <w:proofErr w:type="spellStart"/>
      <w:r w:rsidRPr="00F03B5F">
        <w:rPr>
          <w:lang w:val="en-US"/>
        </w:rPr>
        <w:t>honne</w:t>
      </w:r>
      <w:proofErr w:type="spellEnd"/>
      <w:r w:rsidRPr="00F03B5F">
        <w:rPr>
          <w:rFonts w:eastAsia="Malgun Gothic"/>
          <w:lang w:val="en-US" w:eastAsia="ko-KR"/>
        </w:rPr>
        <w:t>”</w:t>
      </w:r>
      <w:r w:rsidRPr="00F03B5F">
        <w:rPr>
          <w:lang w:val="en-US"/>
        </w:rPr>
        <w:t xml:space="preserve">) and </w:t>
      </w:r>
      <w:r w:rsidRPr="00F03B5F">
        <w:rPr>
          <w:i/>
          <w:lang w:val="en-US"/>
        </w:rPr>
        <w:t>thinking</w:t>
      </w:r>
      <w:r w:rsidRPr="00F03B5F">
        <w:rPr>
          <w:lang w:val="en-US"/>
        </w:rPr>
        <w:t xml:space="preserve"> (“</w:t>
      </w:r>
      <w:proofErr w:type="spellStart"/>
      <w:r w:rsidRPr="00F03B5F">
        <w:rPr>
          <w:lang w:val="en-US"/>
        </w:rPr>
        <w:t>kangae</w:t>
      </w:r>
      <w:proofErr w:type="spellEnd"/>
      <w:r w:rsidRPr="00F03B5F">
        <w:rPr>
          <w:lang w:val="en-US"/>
        </w:rPr>
        <w:t>”).</w:t>
      </w:r>
    </w:p>
    <w:p w:rsidR="00252D4C" w:rsidRPr="00F03B5F" w:rsidRDefault="00252D4C" w:rsidP="00252D4C">
      <w:pPr>
        <w:pStyle w:val="2"/>
        <w:spacing w:line="480" w:lineRule="auto"/>
        <w:ind w:firstLineChars="0" w:firstLine="0"/>
        <w:rPr>
          <w:b/>
          <w:sz w:val="21"/>
          <w:szCs w:val="21"/>
          <w:lang w:val="en-US"/>
        </w:rPr>
      </w:pPr>
      <w:bookmarkStart w:id="1" w:name="_Ref366578139"/>
      <w:r>
        <w:rPr>
          <w:rFonts w:hint="eastAsia"/>
          <w:color w:val="000000"/>
          <w:sz w:val="21"/>
          <w:szCs w:val="21"/>
          <w:lang w:val="en-US"/>
        </w:rPr>
        <w:t xml:space="preserve">[1] </w:t>
      </w:r>
      <w:r w:rsidRPr="00F03B5F">
        <w:rPr>
          <w:color w:val="000000"/>
          <w:sz w:val="21"/>
          <w:szCs w:val="21"/>
          <w:lang w:val="en-US"/>
        </w:rPr>
        <w:t xml:space="preserve">Yamaguchi T (2003) </w:t>
      </w:r>
      <w:proofErr w:type="spellStart"/>
      <w:r w:rsidRPr="00F03B5F">
        <w:rPr>
          <w:color w:val="000000"/>
          <w:sz w:val="21"/>
          <w:szCs w:val="21"/>
          <w:lang w:val="en-US"/>
        </w:rPr>
        <w:t>Nihongo</w:t>
      </w:r>
      <w:proofErr w:type="spellEnd"/>
      <w:r w:rsidRPr="00F03B5F">
        <w:rPr>
          <w:color w:val="000000"/>
          <w:sz w:val="21"/>
          <w:szCs w:val="21"/>
          <w:lang w:val="en-US"/>
        </w:rPr>
        <w:t xml:space="preserve"> Dai-Thesaurus (Japanese Thesaurus). Tokyo: Taishukan </w:t>
      </w:r>
      <w:proofErr w:type="spellStart"/>
      <w:r w:rsidRPr="00F03B5F">
        <w:rPr>
          <w:color w:val="000000"/>
          <w:sz w:val="21"/>
          <w:szCs w:val="21"/>
          <w:lang w:val="en-US"/>
        </w:rPr>
        <w:t>Shoten</w:t>
      </w:r>
      <w:proofErr w:type="spellEnd"/>
      <w:r w:rsidRPr="00F03B5F">
        <w:rPr>
          <w:color w:val="000000"/>
          <w:sz w:val="21"/>
          <w:szCs w:val="21"/>
          <w:lang w:val="en-US"/>
        </w:rPr>
        <w:t>.</w:t>
      </w:r>
      <w:bookmarkEnd w:id="1"/>
    </w:p>
    <w:p w:rsidR="00252D4C" w:rsidRPr="00F03B5F" w:rsidRDefault="00252D4C" w:rsidP="00252D4C">
      <w:pPr>
        <w:pStyle w:val="2"/>
        <w:spacing w:line="480" w:lineRule="auto"/>
        <w:ind w:firstLineChars="0" w:firstLine="0"/>
        <w:rPr>
          <w:b/>
          <w:sz w:val="21"/>
          <w:szCs w:val="21"/>
          <w:lang w:val="en-US"/>
        </w:rPr>
      </w:pPr>
      <w:bookmarkStart w:id="2" w:name="_Ref366578150"/>
      <w:r>
        <w:rPr>
          <w:rFonts w:hint="eastAsia"/>
          <w:color w:val="000000"/>
          <w:sz w:val="21"/>
          <w:szCs w:val="21"/>
          <w:lang w:val="en-US"/>
        </w:rPr>
        <w:t xml:space="preserve">[2] </w:t>
      </w:r>
      <w:r w:rsidRPr="00F03B5F">
        <w:rPr>
          <w:color w:val="000000"/>
          <w:sz w:val="21"/>
          <w:szCs w:val="21"/>
          <w:lang w:val="en-US"/>
        </w:rPr>
        <w:t xml:space="preserve">Amano S, Kondo T (1999) NTT database series </w:t>
      </w:r>
      <w:proofErr w:type="spellStart"/>
      <w:r w:rsidRPr="00F03B5F">
        <w:rPr>
          <w:color w:val="000000"/>
          <w:sz w:val="21"/>
          <w:szCs w:val="21"/>
          <w:lang w:val="en-US"/>
        </w:rPr>
        <w:t>Nihongo</w:t>
      </w:r>
      <w:proofErr w:type="spellEnd"/>
      <w:r w:rsidRPr="00F03B5F">
        <w:rPr>
          <w:color w:val="000000"/>
          <w:sz w:val="21"/>
          <w:szCs w:val="21"/>
          <w:lang w:val="en-US"/>
        </w:rPr>
        <w:t xml:space="preserve">-no </w:t>
      </w:r>
      <w:proofErr w:type="spellStart"/>
      <w:r w:rsidRPr="00F03B5F">
        <w:rPr>
          <w:color w:val="000000"/>
          <w:sz w:val="21"/>
          <w:szCs w:val="21"/>
          <w:lang w:val="en-US"/>
        </w:rPr>
        <w:t>Goi-Tokusei</w:t>
      </w:r>
      <w:proofErr w:type="spellEnd"/>
      <w:r w:rsidRPr="00F03B5F">
        <w:rPr>
          <w:color w:val="000000"/>
          <w:sz w:val="21"/>
          <w:szCs w:val="21"/>
          <w:lang w:val="en-US"/>
        </w:rPr>
        <w:t xml:space="preserve"> (Lexical properties of Japanese) Vol.1 Tokyo: </w:t>
      </w:r>
      <w:proofErr w:type="spellStart"/>
      <w:r w:rsidRPr="00F03B5F">
        <w:rPr>
          <w:color w:val="000000"/>
          <w:sz w:val="21"/>
          <w:szCs w:val="21"/>
          <w:lang w:val="en-US"/>
        </w:rPr>
        <w:t>Sanseido</w:t>
      </w:r>
      <w:proofErr w:type="spellEnd"/>
      <w:r w:rsidRPr="00F03B5F">
        <w:rPr>
          <w:color w:val="000000"/>
          <w:sz w:val="21"/>
          <w:szCs w:val="21"/>
          <w:lang w:val="en-US"/>
        </w:rPr>
        <w:t>.</w:t>
      </w:r>
      <w:bookmarkEnd w:id="2"/>
    </w:p>
    <w:p w:rsidR="00CF73BF" w:rsidRPr="00252D4C" w:rsidRDefault="00CF73BF" w:rsidP="00130EA1"/>
    <w:sectPr w:rsidR="00CF73BF" w:rsidRPr="00252D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FDD" w:rsidRDefault="005B1FDD" w:rsidP="00130EA1">
      <w:r>
        <w:separator/>
      </w:r>
    </w:p>
  </w:endnote>
  <w:endnote w:type="continuationSeparator" w:id="0">
    <w:p w:rsidR="005B1FDD" w:rsidRDefault="005B1FDD" w:rsidP="0013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FDD" w:rsidRDefault="005B1FDD" w:rsidP="00130EA1">
      <w:r>
        <w:separator/>
      </w:r>
    </w:p>
  </w:footnote>
  <w:footnote w:type="continuationSeparator" w:id="0">
    <w:p w:rsidR="005B1FDD" w:rsidRDefault="005B1FDD" w:rsidP="00130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8554B"/>
    <w:multiLevelType w:val="hybridMultilevel"/>
    <w:tmpl w:val="D6C49D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A5"/>
    <w:rsid w:val="00130EA1"/>
    <w:rsid w:val="00252D4C"/>
    <w:rsid w:val="002B1801"/>
    <w:rsid w:val="004B0D3C"/>
    <w:rsid w:val="004C0CA5"/>
    <w:rsid w:val="00564169"/>
    <w:rsid w:val="005A49B9"/>
    <w:rsid w:val="005B1FDD"/>
    <w:rsid w:val="00615935"/>
    <w:rsid w:val="00B578B7"/>
    <w:rsid w:val="00CF73BF"/>
    <w:rsid w:val="00DE0783"/>
    <w:rsid w:val="00F7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link w:val="20"/>
    <w:qFormat/>
    <w:rsid w:val="004C0CA5"/>
    <w:pPr>
      <w:widowControl/>
      <w:ind w:firstLineChars="100" w:firstLine="200"/>
    </w:pPr>
    <w:rPr>
      <w:rFonts w:ascii="Times New Roman" w:eastAsia="ＭＳ 明朝" w:hAnsi="Times New Roman" w:cs="Times New Roman"/>
      <w:kern w:val="0"/>
      <w:sz w:val="20"/>
      <w:szCs w:val="20"/>
      <w:lang w:val="x-none"/>
    </w:rPr>
  </w:style>
  <w:style w:type="character" w:customStyle="1" w:styleId="20">
    <w:name w:val="スタイル2 (文字)"/>
    <w:basedOn w:val="a0"/>
    <w:link w:val="2"/>
    <w:rsid w:val="004C0CA5"/>
    <w:rPr>
      <w:rFonts w:ascii="Times New Roman" w:eastAsia="ＭＳ 明朝" w:hAnsi="Times New Roman" w:cs="Times New Roman"/>
      <w:kern w:val="0"/>
      <w:sz w:val="20"/>
      <w:szCs w:val="20"/>
      <w:lang w:val="x-none"/>
    </w:rPr>
  </w:style>
  <w:style w:type="paragraph" w:customStyle="1" w:styleId="cognition">
    <w:name w:val="cognition"/>
    <w:basedOn w:val="2"/>
    <w:link w:val="cognition0"/>
    <w:qFormat/>
    <w:rsid w:val="004C0CA5"/>
    <w:pPr>
      <w:spacing w:line="480" w:lineRule="auto"/>
      <w:ind w:firstLine="210"/>
    </w:pPr>
    <w:rPr>
      <w:rFonts w:eastAsia="Times New Roman"/>
      <w:sz w:val="21"/>
      <w:szCs w:val="21"/>
      <w:lang w:eastAsia="en-US"/>
    </w:rPr>
  </w:style>
  <w:style w:type="character" w:customStyle="1" w:styleId="cognition0">
    <w:name w:val="cognition (文字)"/>
    <w:link w:val="cognition"/>
    <w:rsid w:val="004C0CA5"/>
    <w:rPr>
      <w:rFonts w:ascii="Times New Roman" w:eastAsia="Times New Roman" w:hAnsi="Times New Roman" w:cs="Times New Roman"/>
      <w:kern w:val="0"/>
      <w:szCs w:val="21"/>
      <w:lang w:val="x-none" w:eastAsia="en-US"/>
    </w:rPr>
  </w:style>
  <w:style w:type="paragraph" w:styleId="a3">
    <w:name w:val="header"/>
    <w:basedOn w:val="a"/>
    <w:link w:val="a4"/>
    <w:uiPriority w:val="99"/>
    <w:unhideWhenUsed/>
    <w:rsid w:val="00130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0EA1"/>
  </w:style>
  <w:style w:type="paragraph" w:styleId="a5">
    <w:name w:val="footer"/>
    <w:basedOn w:val="a"/>
    <w:link w:val="a6"/>
    <w:uiPriority w:val="99"/>
    <w:unhideWhenUsed/>
    <w:rsid w:val="00130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0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link w:val="20"/>
    <w:qFormat/>
    <w:rsid w:val="004C0CA5"/>
    <w:pPr>
      <w:widowControl/>
      <w:ind w:firstLineChars="100" w:firstLine="200"/>
    </w:pPr>
    <w:rPr>
      <w:rFonts w:ascii="Times New Roman" w:eastAsia="ＭＳ 明朝" w:hAnsi="Times New Roman" w:cs="Times New Roman"/>
      <w:kern w:val="0"/>
      <w:sz w:val="20"/>
      <w:szCs w:val="20"/>
      <w:lang w:val="x-none"/>
    </w:rPr>
  </w:style>
  <w:style w:type="character" w:customStyle="1" w:styleId="20">
    <w:name w:val="スタイル2 (文字)"/>
    <w:basedOn w:val="a0"/>
    <w:link w:val="2"/>
    <w:rsid w:val="004C0CA5"/>
    <w:rPr>
      <w:rFonts w:ascii="Times New Roman" w:eastAsia="ＭＳ 明朝" w:hAnsi="Times New Roman" w:cs="Times New Roman"/>
      <w:kern w:val="0"/>
      <w:sz w:val="20"/>
      <w:szCs w:val="20"/>
      <w:lang w:val="x-none"/>
    </w:rPr>
  </w:style>
  <w:style w:type="paragraph" w:customStyle="1" w:styleId="cognition">
    <w:name w:val="cognition"/>
    <w:basedOn w:val="2"/>
    <w:link w:val="cognition0"/>
    <w:qFormat/>
    <w:rsid w:val="004C0CA5"/>
    <w:pPr>
      <w:spacing w:line="480" w:lineRule="auto"/>
      <w:ind w:firstLine="210"/>
    </w:pPr>
    <w:rPr>
      <w:rFonts w:eastAsia="Times New Roman"/>
      <w:sz w:val="21"/>
      <w:szCs w:val="21"/>
      <w:lang w:eastAsia="en-US"/>
    </w:rPr>
  </w:style>
  <w:style w:type="character" w:customStyle="1" w:styleId="cognition0">
    <w:name w:val="cognition (文字)"/>
    <w:link w:val="cognition"/>
    <w:rsid w:val="004C0CA5"/>
    <w:rPr>
      <w:rFonts w:ascii="Times New Roman" w:eastAsia="Times New Roman" w:hAnsi="Times New Roman" w:cs="Times New Roman"/>
      <w:kern w:val="0"/>
      <w:szCs w:val="21"/>
      <w:lang w:val="x-none" w:eastAsia="en-US"/>
    </w:rPr>
  </w:style>
  <w:style w:type="paragraph" w:styleId="a3">
    <w:name w:val="header"/>
    <w:basedOn w:val="a"/>
    <w:link w:val="a4"/>
    <w:uiPriority w:val="99"/>
    <w:unhideWhenUsed/>
    <w:rsid w:val="00130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0EA1"/>
  </w:style>
  <w:style w:type="paragraph" w:styleId="a5">
    <w:name w:val="footer"/>
    <w:basedOn w:val="a"/>
    <w:link w:val="a6"/>
    <w:uiPriority w:val="99"/>
    <w:unhideWhenUsed/>
    <w:rsid w:val="00130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0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sakamoto</dc:creator>
  <cp:lastModifiedBy>sakamoto</cp:lastModifiedBy>
  <cp:revision>3</cp:revision>
  <dcterms:created xsi:type="dcterms:W3CDTF">2014-01-22T02:19:00Z</dcterms:created>
  <dcterms:modified xsi:type="dcterms:W3CDTF">2014-01-22T02:22:00Z</dcterms:modified>
</cp:coreProperties>
</file>