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40" w:rsidRDefault="00131E2B" w:rsidP="00630540">
      <w:pPr>
        <w:spacing w:line="360" w:lineRule="auto"/>
        <w:rPr>
          <w:rFonts w:ascii="Arial" w:hAnsi="Arial" w:cs="Arial"/>
          <w:b/>
          <w:sz w:val="24"/>
          <w:szCs w:val="24"/>
        </w:rPr>
      </w:pPr>
      <w:r w:rsidRPr="002B18DF">
        <w:rPr>
          <w:rFonts w:ascii="Arial" w:hAnsi="Arial" w:cs="Arial"/>
          <w:b/>
          <w:sz w:val="24"/>
          <w:szCs w:val="24"/>
        </w:rPr>
        <w:t>Supporting Information</w:t>
      </w:r>
    </w:p>
    <w:p w:rsidR="00630540" w:rsidRDefault="00414962" w:rsidP="00630540">
      <w:pPr>
        <w:spacing w:line="360" w:lineRule="auto"/>
        <w:rPr>
          <w:rFonts w:ascii="Arial" w:hAnsi="Arial" w:cs="Arial"/>
          <w:b/>
          <w:sz w:val="24"/>
          <w:szCs w:val="24"/>
        </w:rPr>
      </w:pPr>
      <w:r w:rsidRPr="002B18DF">
        <w:rPr>
          <w:rFonts w:ascii="Arial" w:hAnsi="Arial" w:cs="Arial"/>
          <w:i/>
          <w:u w:val="single"/>
        </w:rPr>
        <w:t>Drug Release Model Validation Using Finite-Element Simulation</w:t>
      </w:r>
    </w:p>
    <w:p w:rsidR="00414962" w:rsidRDefault="00414962" w:rsidP="00630540">
      <w:pPr>
        <w:spacing w:line="360" w:lineRule="auto"/>
        <w:rPr>
          <w:rFonts w:ascii="Arial" w:hAnsi="Arial" w:cs="Arial"/>
        </w:rPr>
      </w:pPr>
      <w:r w:rsidRPr="002B18DF">
        <w:rPr>
          <w:rFonts w:ascii="Arial" w:hAnsi="Arial" w:cs="Arial"/>
        </w:rPr>
        <w:t xml:space="preserve">In order to assess the validity of the two-stage drug release model for solid reservoirs presented in Equation 11, we also performed graphical finite element simulations of drug release in COMSOL Multiphysics 4. The "Transport of Diluted Species Package" was used to solve Fick's Second Law on a free triangular mesh applied to two-dimensional, circular cross-sections of cylindrical reservoirs (an example is shown in Figure S1A). Identically to Equation 11, </w:t>
      </w:r>
      <w:r w:rsidR="009B4561">
        <w:rPr>
          <w:rFonts w:ascii="Arial" w:hAnsi="Arial" w:cs="Arial"/>
        </w:rPr>
        <w:t>a</w:t>
      </w:r>
      <w:r w:rsidRPr="002B18DF">
        <w:rPr>
          <w:rFonts w:ascii="Arial" w:hAnsi="Arial" w:cs="Arial"/>
        </w:rPr>
        <w:t xml:space="preserve"> uniform initial condition (</w:t>
      </w:r>
      <w:r w:rsidRPr="002B18DF">
        <w:rPr>
          <w:rFonts w:ascii="Arial" w:hAnsi="Arial" w:cs="Arial"/>
          <w:i/>
        </w:rPr>
        <w:t>c</w:t>
      </w:r>
      <w:r w:rsidRPr="002B18DF">
        <w:rPr>
          <w:rFonts w:ascii="Arial" w:hAnsi="Arial" w:cs="Arial"/>
          <w:i/>
          <w:vertAlign w:val="subscript"/>
        </w:rPr>
        <w:t xml:space="preserve">0 </w:t>
      </w:r>
      <w:r w:rsidRPr="002B18DF">
        <w:rPr>
          <w:rFonts w:ascii="Arial" w:hAnsi="Arial" w:cs="Arial"/>
        </w:rPr>
        <w:t>= 42 mol/m</w:t>
      </w:r>
      <w:r w:rsidRPr="002B18DF">
        <w:rPr>
          <w:rFonts w:ascii="Arial" w:hAnsi="Arial" w:cs="Arial"/>
          <w:vertAlign w:val="superscript"/>
        </w:rPr>
        <w:t>3</w:t>
      </w:r>
      <w:r w:rsidRPr="002B18DF">
        <w:rPr>
          <w:rFonts w:ascii="Arial" w:hAnsi="Arial" w:cs="Arial"/>
        </w:rPr>
        <w:t>) was applied to the entire cross-section and a sink boundary (</w:t>
      </w:r>
      <w:r w:rsidRPr="002B18DF">
        <w:rPr>
          <w:rFonts w:ascii="Arial" w:hAnsi="Arial" w:cs="Arial"/>
          <w:i/>
        </w:rPr>
        <w:t>c(r</w:t>
      </w:r>
      <w:r w:rsidRPr="002B18DF">
        <w:rPr>
          <w:rFonts w:ascii="Arial" w:hAnsi="Arial" w:cs="Arial"/>
          <w:i/>
          <w:vertAlign w:val="subscript"/>
        </w:rPr>
        <w:t>o</w:t>
      </w:r>
      <w:r w:rsidRPr="002B18DF">
        <w:rPr>
          <w:rFonts w:ascii="Arial" w:hAnsi="Arial" w:cs="Arial"/>
          <w:i/>
        </w:rPr>
        <w:t>) = 0</w:t>
      </w:r>
      <w:r w:rsidRPr="002B18DF">
        <w:rPr>
          <w:rFonts w:ascii="Arial" w:hAnsi="Arial" w:cs="Arial"/>
        </w:rPr>
        <w:t>) was applied to the outer edges of the cross-section.</w:t>
      </w:r>
      <w:r w:rsidR="005149CB">
        <w:rPr>
          <w:rFonts w:ascii="Arial" w:hAnsi="Arial" w:cs="Arial"/>
        </w:rPr>
        <w:t xml:space="preserve"> Core drug diffusivity was fixed at 5 x 10</w:t>
      </w:r>
      <w:r w:rsidR="005149CB">
        <w:rPr>
          <w:rFonts w:ascii="Arial" w:hAnsi="Arial" w:cs="Arial"/>
          <w:vertAlign w:val="superscript"/>
        </w:rPr>
        <w:t>-9</w:t>
      </w:r>
      <w:r w:rsidR="005149CB">
        <w:rPr>
          <w:rFonts w:ascii="Arial" w:hAnsi="Arial" w:cs="Arial"/>
        </w:rPr>
        <w:t xml:space="preserve"> cm</w:t>
      </w:r>
      <w:r w:rsidR="005149CB">
        <w:rPr>
          <w:rFonts w:ascii="Arial" w:hAnsi="Arial" w:cs="Arial"/>
          <w:vertAlign w:val="superscript"/>
        </w:rPr>
        <w:t>2</w:t>
      </w:r>
      <w:r w:rsidR="005149CB">
        <w:rPr>
          <w:rFonts w:ascii="Arial" w:hAnsi="Arial" w:cs="Arial"/>
        </w:rPr>
        <w:t xml:space="preserve">/s </w:t>
      </w:r>
      <w:r w:rsidR="00FE18E5">
        <w:rPr>
          <w:rFonts w:ascii="Arial" w:hAnsi="Arial" w:cs="Arial"/>
        </w:rPr>
        <w:t xml:space="preserve">(not considered in our analytical model </w:t>
      </w:r>
      <w:r w:rsidR="005149CB">
        <w:rPr>
          <w:rFonts w:ascii="Arial" w:hAnsi="Arial" w:cs="Arial"/>
        </w:rPr>
        <w:t>as long as it is much larger than the membrane diffusivity).</w:t>
      </w:r>
      <w:r w:rsidRPr="002B18DF">
        <w:rPr>
          <w:rFonts w:ascii="Arial" w:hAnsi="Arial" w:cs="Arial"/>
        </w:rPr>
        <w:t xml:space="preserve"> Four different configurations were solved with varying </w:t>
      </w:r>
      <w:r w:rsidRPr="002B18DF">
        <w:rPr>
          <w:rFonts w:ascii="Arial" w:hAnsi="Arial" w:cs="Arial"/>
          <w:i/>
        </w:rPr>
        <w:t>D, r</w:t>
      </w:r>
      <w:r w:rsidRPr="002B18DF">
        <w:rPr>
          <w:rFonts w:ascii="Arial" w:hAnsi="Arial" w:cs="Arial"/>
          <w:i/>
          <w:vertAlign w:val="subscript"/>
        </w:rPr>
        <w:t>o</w:t>
      </w:r>
      <w:r w:rsidRPr="002B18DF">
        <w:rPr>
          <w:rFonts w:ascii="Arial" w:hAnsi="Arial" w:cs="Arial"/>
          <w:i/>
        </w:rPr>
        <w:t xml:space="preserve"> and r</w:t>
      </w:r>
      <w:r w:rsidRPr="002B18DF">
        <w:rPr>
          <w:rFonts w:ascii="Arial" w:hAnsi="Arial" w:cs="Arial"/>
          <w:i/>
          <w:vertAlign w:val="subscript"/>
        </w:rPr>
        <w:t>i</w:t>
      </w:r>
      <w:r w:rsidRPr="002B18DF">
        <w:rPr>
          <w:rFonts w:ascii="Arial" w:hAnsi="Arial" w:cs="Arial"/>
        </w:rPr>
        <w:t xml:space="preserve"> </w:t>
      </w:r>
      <w:r w:rsidR="002B18DF" w:rsidRPr="002B18DF">
        <w:rPr>
          <w:rFonts w:ascii="Arial" w:hAnsi="Arial" w:cs="Arial"/>
        </w:rPr>
        <w:t>(see Table S1</w:t>
      </w:r>
      <w:r w:rsidRPr="002B18DF">
        <w:rPr>
          <w:rFonts w:ascii="Arial" w:hAnsi="Arial" w:cs="Arial"/>
        </w:rPr>
        <w:t>). Simulations were carried out for 90 days, and area integrals were taken of the cross-section at each time-point to determine drug concentration per unit length as a function of time. These integrals were converted to LNG mass units and multiplied by a fixed length of 20 mm. Equation 11 was evaluated for each of the c</w:t>
      </w:r>
      <w:r w:rsidR="002B18DF" w:rsidRPr="002B18DF">
        <w:rPr>
          <w:rFonts w:ascii="Arial" w:hAnsi="Arial" w:cs="Arial"/>
        </w:rPr>
        <w:t>onfigurations listed in Table S1</w:t>
      </w:r>
      <w:r w:rsidRPr="002B18DF">
        <w:rPr>
          <w:rFonts w:ascii="Arial" w:hAnsi="Arial" w:cs="Arial"/>
        </w:rPr>
        <w:t>, and daily release rates of both the finite-element simulation and analytical solution</w:t>
      </w:r>
      <w:r w:rsidR="00346036">
        <w:rPr>
          <w:rFonts w:ascii="Arial" w:hAnsi="Arial" w:cs="Arial"/>
        </w:rPr>
        <w:t>s</w:t>
      </w:r>
      <w:r w:rsidRPr="002B18DF">
        <w:rPr>
          <w:rFonts w:ascii="Arial" w:hAnsi="Arial" w:cs="Arial"/>
        </w:rPr>
        <w:t xml:space="preserve"> were calculated by subtraction. The two data sets were then compared by computing the coefficient of determination (</w:t>
      </w:r>
      <w:r w:rsidRPr="002B18DF">
        <w:rPr>
          <w:rFonts w:ascii="Arial" w:hAnsi="Arial" w:cs="Arial"/>
          <w:i/>
        </w:rPr>
        <w:t>R</w:t>
      </w:r>
      <w:r w:rsidRPr="002B18DF">
        <w:rPr>
          <w:rFonts w:ascii="Arial" w:hAnsi="Arial" w:cs="Arial"/>
          <w:i/>
          <w:vertAlign w:val="superscript"/>
        </w:rPr>
        <w:t>2</w:t>
      </w:r>
      <w:r w:rsidRPr="002B18DF">
        <w:rPr>
          <w:rFonts w:ascii="Arial" w:hAnsi="Arial" w:cs="Arial"/>
        </w:rPr>
        <w:t>) for each configuration.</w:t>
      </w:r>
    </w:p>
    <w:p w:rsidR="00630540" w:rsidRPr="00630540" w:rsidRDefault="00630540" w:rsidP="00630540">
      <w:pPr>
        <w:spacing w:line="360" w:lineRule="auto"/>
        <w:rPr>
          <w:rFonts w:ascii="Arial" w:hAnsi="Arial" w:cs="Arial"/>
          <w:b/>
          <w:sz w:val="24"/>
          <w:szCs w:val="24"/>
        </w:rPr>
      </w:pPr>
    </w:p>
    <w:tbl>
      <w:tblPr>
        <w:tblStyle w:val="TableGrid"/>
        <w:tblW w:w="0" w:type="auto"/>
        <w:tblLook w:val="04A0"/>
      </w:tblPr>
      <w:tblGrid>
        <w:gridCol w:w="9576"/>
      </w:tblGrid>
      <w:tr w:rsidR="00414962" w:rsidRPr="002B18DF" w:rsidTr="00414962">
        <w:tc>
          <w:tcPr>
            <w:tcW w:w="9576" w:type="dxa"/>
          </w:tcPr>
          <w:p w:rsidR="00414962" w:rsidRPr="002B18DF" w:rsidRDefault="000F0D85" w:rsidP="00414962">
            <w:pPr>
              <w:spacing w:line="360" w:lineRule="auto"/>
              <w:jc w:val="center"/>
              <w:rPr>
                <w:rFonts w:ascii="Arial" w:hAnsi="Arial" w:cs="Arial"/>
              </w:rPr>
            </w:pPr>
            <w:r>
              <w:rPr>
                <w:rFonts w:ascii="Arial" w:hAnsi="Arial" w:cs="Arial"/>
                <w:noProof/>
              </w:rPr>
              <w:lastRenderedPageBreak/>
              <w:drawing>
                <wp:inline distT="0" distB="0" distL="0" distR="0">
                  <wp:extent cx="5943600" cy="3023870"/>
                  <wp:effectExtent l="19050" t="0" r="0" b="0"/>
                  <wp:docPr id="3" name="Picture 2" descr="Figure S1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 new.png"/>
                          <pic:cNvPicPr/>
                        </pic:nvPicPr>
                        <pic:blipFill>
                          <a:blip r:embed="rId7" cstate="print"/>
                          <a:stretch>
                            <a:fillRect/>
                          </a:stretch>
                        </pic:blipFill>
                        <pic:spPr>
                          <a:xfrm>
                            <a:off x="0" y="0"/>
                            <a:ext cx="5943600" cy="3023870"/>
                          </a:xfrm>
                          <a:prstGeom prst="rect">
                            <a:avLst/>
                          </a:prstGeom>
                        </pic:spPr>
                      </pic:pic>
                    </a:graphicData>
                  </a:graphic>
                </wp:inline>
              </w:drawing>
            </w:r>
          </w:p>
        </w:tc>
      </w:tr>
      <w:tr w:rsidR="00414962" w:rsidRPr="002B18DF" w:rsidTr="00414962">
        <w:tc>
          <w:tcPr>
            <w:tcW w:w="9576" w:type="dxa"/>
          </w:tcPr>
          <w:p w:rsidR="00414962" w:rsidRPr="002B18DF" w:rsidRDefault="00414962" w:rsidP="00FE18E5">
            <w:pPr>
              <w:spacing w:line="360" w:lineRule="auto"/>
              <w:rPr>
                <w:rFonts w:ascii="Arial" w:hAnsi="Arial" w:cs="Arial"/>
              </w:rPr>
            </w:pPr>
            <w:r w:rsidRPr="002B18DF">
              <w:rPr>
                <w:rFonts w:ascii="Arial" w:hAnsi="Arial" w:cs="Arial"/>
                <w:b/>
              </w:rPr>
              <w:t xml:space="preserve">Figure S1: </w:t>
            </w:r>
            <w:bookmarkStart w:id="0" w:name="_GoBack"/>
            <w:bookmarkEnd w:id="0"/>
            <w:r w:rsidRPr="002B18DF">
              <w:rPr>
                <w:rFonts w:ascii="Arial" w:hAnsi="Arial" w:cs="Arial"/>
              </w:rPr>
              <w:t>An</w:t>
            </w:r>
            <w:r w:rsidRPr="002B18DF">
              <w:rPr>
                <w:rFonts w:ascii="Arial" w:hAnsi="Arial" w:cs="Arial"/>
                <w:b/>
              </w:rPr>
              <w:t xml:space="preserve"> </w:t>
            </w:r>
            <w:r w:rsidRPr="002B18DF">
              <w:rPr>
                <w:rFonts w:ascii="Arial" w:hAnsi="Arial" w:cs="Arial"/>
              </w:rPr>
              <w:t>example (A) finite-element mesh and (B) final concentration profile result from the finite-element drug release simulation</w:t>
            </w:r>
            <w:r w:rsidR="005149CB">
              <w:rPr>
                <w:rFonts w:ascii="Arial" w:hAnsi="Arial" w:cs="Arial"/>
              </w:rPr>
              <w:t xml:space="preserve">, with highest concentration represented by dark red and lowest concentration by purple. (Configuration 'A' shown, see </w:t>
            </w:r>
            <w:r w:rsidR="00FE18E5">
              <w:rPr>
                <w:rFonts w:ascii="Arial" w:hAnsi="Arial" w:cs="Arial"/>
              </w:rPr>
              <w:t>Table S1</w:t>
            </w:r>
            <w:r w:rsidR="005149CB">
              <w:rPr>
                <w:rFonts w:ascii="Arial" w:hAnsi="Arial" w:cs="Arial"/>
              </w:rPr>
              <w:t>)</w:t>
            </w:r>
          </w:p>
        </w:tc>
      </w:tr>
    </w:tbl>
    <w:p w:rsidR="00414962" w:rsidRPr="002B18DF" w:rsidRDefault="00414962" w:rsidP="00414962">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2B18DF" w:rsidRPr="002B18DF" w:rsidTr="002B18DF">
        <w:tc>
          <w:tcPr>
            <w:tcW w:w="9576" w:type="dxa"/>
            <w:gridSpan w:val="6"/>
          </w:tcPr>
          <w:p w:rsidR="002B18DF" w:rsidRPr="002B18DF" w:rsidRDefault="002B18DF" w:rsidP="00346036">
            <w:pPr>
              <w:spacing w:line="360" w:lineRule="auto"/>
              <w:rPr>
                <w:rFonts w:ascii="Arial" w:hAnsi="Arial" w:cs="Arial"/>
              </w:rPr>
            </w:pPr>
            <w:r>
              <w:rPr>
                <w:rFonts w:ascii="Arial" w:hAnsi="Arial" w:cs="Arial"/>
                <w:b/>
              </w:rPr>
              <w:t xml:space="preserve">Table S1: </w:t>
            </w:r>
            <w:r>
              <w:rPr>
                <w:rFonts w:ascii="Arial" w:hAnsi="Arial" w:cs="Arial"/>
              </w:rPr>
              <w:t>Values of</w:t>
            </w:r>
            <w:r w:rsidR="00346036">
              <w:rPr>
                <w:rFonts w:ascii="Arial" w:hAnsi="Arial" w:cs="Arial"/>
              </w:rPr>
              <w:t xml:space="preserve"> outer radius </w:t>
            </w:r>
            <w:r w:rsidR="00346036" w:rsidRPr="002B18DF">
              <w:rPr>
                <w:rFonts w:ascii="Arial" w:hAnsi="Arial" w:cs="Arial"/>
              </w:rPr>
              <w:t>(</w:t>
            </w:r>
            <w:r w:rsidR="00346036" w:rsidRPr="002B18DF">
              <w:rPr>
                <w:rFonts w:ascii="Arial" w:hAnsi="Arial" w:cs="Arial"/>
                <w:i/>
              </w:rPr>
              <w:t>r</w:t>
            </w:r>
            <w:r w:rsidR="00346036" w:rsidRPr="002B18DF">
              <w:rPr>
                <w:rFonts w:ascii="Arial" w:hAnsi="Arial" w:cs="Arial"/>
                <w:i/>
                <w:vertAlign w:val="subscript"/>
              </w:rPr>
              <w:t>o</w:t>
            </w:r>
            <w:r w:rsidR="00346036" w:rsidRPr="002B18DF">
              <w:rPr>
                <w:rFonts w:ascii="Arial" w:hAnsi="Arial" w:cs="Arial"/>
              </w:rPr>
              <w:t>)</w:t>
            </w:r>
            <w:r w:rsidR="00346036">
              <w:rPr>
                <w:rFonts w:ascii="Arial" w:hAnsi="Arial" w:cs="Arial"/>
              </w:rPr>
              <w:t xml:space="preserve">, inner radius </w:t>
            </w:r>
            <w:r w:rsidR="00346036" w:rsidRPr="002B18DF">
              <w:rPr>
                <w:rFonts w:ascii="Arial" w:hAnsi="Arial" w:cs="Arial"/>
              </w:rPr>
              <w:t>(</w:t>
            </w:r>
            <w:r w:rsidR="00346036" w:rsidRPr="002B18DF">
              <w:rPr>
                <w:rFonts w:ascii="Arial" w:hAnsi="Arial" w:cs="Arial"/>
                <w:i/>
              </w:rPr>
              <w:t>r</w:t>
            </w:r>
            <w:r w:rsidR="00346036">
              <w:rPr>
                <w:rFonts w:ascii="Arial" w:hAnsi="Arial" w:cs="Arial"/>
                <w:i/>
                <w:vertAlign w:val="subscript"/>
              </w:rPr>
              <w:t>i</w:t>
            </w:r>
            <w:r w:rsidR="00346036" w:rsidRPr="002B18DF">
              <w:rPr>
                <w:rFonts w:ascii="Arial" w:hAnsi="Arial" w:cs="Arial"/>
              </w:rPr>
              <w:t>)</w:t>
            </w:r>
            <w:r w:rsidR="00346036">
              <w:rPr>
                <w:rFonts w:ascii="Arial" w:hAnsi="Arial" w:cs="Arial"/>
              </w:rPr>
              <w:t xml:space="preserve"> and</w:t>
            </w:r>
            <w:r>
              <w:rPr>
                <w:rFonts w:ascii="Arial" w:hAnsi="Arial" w:cs="Arial"/>
              </w:rPr>
              <w:t xml:space="preserve"> drug polymer diffusivity in the outer membrane (</w:t>
            </w:r>
            <w:r w:rsidRPr="002B18DF">
              <w:rPr>
                <w:rFonts w:ascii="Arial" w:hAnsi="Arial" w:cs="Arial"/>
                <w:i/>
              </w:rPr>
              <w:t>D</w:t>
            </w:r>
            <w:r>
              <w:rPr>
                <w:rFonts w:ascii="Arial" w:hAnsi="Arial" w:cs="Arial"/>
              </w:rPr>
              <w:t>) for comparisons of the two-stage drug release model (Eqn. 11) to finite-element diffusion simulations.</w:t>
            </w:r>
          </w:p>
        </w:tc>
      </w:tr>
      <w:tr w:rsidR="002B18DF" w:rsidRPr="002B18DF" w:rsidTr="002B18DF">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Configuration</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Outer Diameter (mm)</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Wall Thickness (µm)</w:t>
            </w:r>
          </w:p>
        </w:tc>
        <w:tc>
          <w:tcPr>
            <w:tcW w:w="1596" w:type="dxa"/>
            <w:shd w:val="pct20" w:color="auto" w:fill="auto"/>
          </w:tcPr>
          <w:p w:rsidR="002B18DF" w:rsidRPr="002B18DF" w:rsidRDefault="002B18DF" w:rsidP="002B18DF">
            <w:pPr>
              <w:spacing w:line="360" w:lineRule="auto"/>
              <w:jc w:val="center"/>
              <w:rPr>
                <w:rFonts w:ascii="Arial" w:hAnsi="Arial" w:cs="Arial"/>
              </w:rPr>
            </w:pPr>
            <w:r w:rsidRPr="002B18DF">
              <w:rPr>
                <w:rFonts w:ascii="Arial" w:hAnsi="Arial" w:cs="Arial"/>
                <w:i/>
              </w:rPr>
              <w:t>r</w:t>
            </w:r>
            <w:r w:rsidRPr="002B18DF">
              <w:rPr>
                <w:rFonts w:ascii="Arial" w:hAnsi="Arial" w:cs="Arial"/>
                <w:i/>
                <w:vertAlign w:val="subscript"/>
              </w:rPr>
              <w:t>o</w:t>
            </w:r>
            <w:r>
              <w:rPr>
                <w:rFonts w:ascii="Arial" w:hAnsi="Arial" w:cs="Arial"/>
              </w:rPr>
              <w:t xml:space="preserve"> (mm)</w:t>
            </w:r>
          </w:p>
        </w:tc>
        <w:tc>
          <w:tcPr>
            <w:tcW w:w="1596" w:type="dxa"/>
            <w:shd w:val="pct20" w:color="auto" w:fill="auto"/>
          </w:tcPr>
          <w:p w:rsidR="002B18DF" w:rsidRPr="002B18DF" w:rsidRDefault="002B18DF" w:rsidP="002B18DF">
            <w:pPr>
              <w:spacing w:line="360" w:lineRule="auto"/>
              <w:jc w:val="center"/>
              <w:rPr>
                <w:rFonts w:ascii="Arial" w:hAnsi="Arial" w:cs="Arial"/>
              </w:rPr>
            </w:pPr>
            <w:r w:rsidRPr="002B18DF">
              <w:rPr>
                <w:rFonts w:ascii="Arial" w:hAnsi="Arial" w:cs="Arial"/>
                <w:i/>
              </w:rPr>
              <w:t>R</w:t>
            </w:r>
            <w:r>
              <w:rPr>
                <w:rFonts w:ascii="Arial" w:hAnsi="Arial" w:cs="Arial"/>
                <w:i/>
                <w:vertAlign w:val="subscript"/>
              </w:rPr>
              <w:t>i</w:t>
            </w:r>
            <w:r>
              <w:rPr>
                <w:rFonts w:ascii="Arial" w:hAnsi="Arial" w:cs="Arial"/>
              </w:rPr>
              <w:t xml:space="preserve"> (mm)</w:t>
            </w:r>
          </w:p>
        </w:tc>
        <w:tc>
          <w:tcPr>
            <w:tcW w:w="1596" w:type="dxa"/>
            <w:shd w:val="pct20" w:color="auto" w:fill="auto"/>
          </w:tcPr>
          <w:p w:rsidR="002B18DF" w:rsidRPr="002B18DF" w:rsidRDefault="002B18DF" w:rsidP="009F1B6D">
            <w:pPr>
              <w:spacing w:line="360" w:lineRule="auto"/>
              <w:jc w:val="center"/>
              <w:rPr>
                <w:rFonts w:ascii="Arial" w:hAnsi="Arial" w:cs="Arial"/>
              </w:rPr>
            </w:pPr>
            <w:r w:rsidRPr="002B18DF">
              <w:rPr>
                <w:rFonts w:ascii="Arial" w:hAnsi="Arial" w:cs="Arial"/>
                <w:i/>
              </w:rPr>
              <w:t>D</w:t>
            </w:r>
            <w:r>
              <w:rPr>
                <w:rFonts w:ascii="Arial" w:hAnsi="Arial" w:cs="Arial"/>
              </w:rPr>
              <w:t xml:space="preserve"> (10</w:t>
            </w:r>
            <w:r w:rsidRPr="002B18DF">
              <w:rPr>
                <w:rFonts w:ascii="Arial" w:hAnsi="Arial" w:cs="Arial"/>
                <w:vertAlign w:val="superscript"/>
              </w:rPr>
              <w:t>-11</w:t>
            </w:r>
            <w:r>
              <w:rPr>
                <w:rFonts w:ascii="Arial" w:hAnsi="Arial" w:cs="Arial"/>
              </w:rPr>
              <w:t xml:space="preserve"> cm</w:t>
            </w:r>
            <w:r w:rsidRPr="002B18DF">
              <w:rPr>
                <w:rFonts w:ascii="Arial" w:hAnsi="Arial" w:cs="Arial"/>
                <w:vertAlign w:val="superscript"/>
              </w:rPr>
              <w:t>2</w:t>
            </w:r>
            <w:r>
              <w:rPr>
                <w:rFonts w:ascii="Arial" w:hAnsi="Arial" w:cs="Arial"/>
              </w:rPr>
              <w:t>/s)</w:t>
            </w:r>
          </w:p>
        </w:tc>
      </w:tr>
      <w:tr w:rsidR="002B18DF" w:rsidRPr="002B18DF" w:rsidTr="002B18DF">
        <w:tc>
          <w:tcPr>
            <w:tcW w:w="1596" w:type="dxa"/>
          </w:tcPr>
          <w:p w:rsidR="002B18DF" w:rsidRPr="002B18DF" w:rsidRDefault="002B18DF" w:rsidP="002B18DF">
            <w:pPr>
              <w:spacing w:line="360" w:lineRule="auto"/>
              <w:jc w:val="center"/>
              <w:rPr>
                <w:rFonts w:ascii="Arial" w:hAnsi="Arial" w:cs="Arial"/>
              </w:rPr>
            </w:pPr>
            <w:r>
              <w:rPr>
                <w:rFonts w:ascii="Arial" w:hAnsi="Arial" w:cs="Arial"/>
              </w:rPr>
              <w:t>A</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5.5</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90</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2.75</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2.66</w:t>
            </w:r>
          </w:p>
        </w:tc>
        <w:tc>
          <w:tcPr>
            <w:tcW w:w="1596" w:type="dxa"/>
          </w:tcPr>
          <w:p w:rsidR="002B18DF" w:rsidRPr="002B18DF" w:rsidRDefault="002B18DF" w:rsidP="009F1B6D">
            <w:pPr>
              <w:spacing w:line="360" w:lineRule="auto"/>
              <w:jc w:val="center"/>
              <w:rPr>
                <w:rFonts w:ascii="Arial" w:hAnsi="Arial" w:cs="Arial"/>
              </w:rPr>
            </w:pPr>
            <w:r>
              <w:rPr>
                <w:rFonts w:ascii="Arial" w:hAnsi="Arial" w:cs="Arial"/>
              </w:rPr>
              <w:t>5.0</w:t>
            </w:r>
          </w:p>
        </w:tc>
      </w:tr>
      <w:tr w:rsidR="002B18DF" w:rsidRPr="002B18DF" w:rsidTr="002B18DF">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B</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8.0</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90</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4.00</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3.91</w:t>
            </w:r>
          </w:p>
        </w:tc>
        <w:tc>
          <w:tcPr>
            <w:tcW w:w="1596" w:type="dxa"/>
            <w:shd w:val="pct20" w:color="auto" w:fill="auto"/>
          </w:tcPr>
          <w:p w:rsidR="002B18DF" w:rsidRPr="002B18DF" w:rsidRDefault="002B18DF" w:rsidP="009F1B6D">
            <w:pPr>
              <w:spacing w:line="360" w:lineRule="auto"/>
              <w:jc w:val="center"/>
              <w:rPr>
                <w:rFonts w:ascii="Arial" w:hAnsi="Arial" w:cs="Arial"/>
              </w:rPr>
            </w:pPr>
            <w:r>
              <w:rPr>
                <w:rFonts w:ascii="Arial" w:hAnsi="Arial" w:cs="Arial"/>
              </w:rPr>
              <w:t>1.0</w:t>
            </w:r>
          </w:p>
        </w:tc>
      </w:tr>
      <w:tr w:rsidR="002B18DF" w:rsidRPr="002B18DF" w:rsidTr="002B18DF">
        <w:tc>
          <w:tcPr>
            <w:tcW w:w="1596" w:type="dxa"/>
          </w:tcPr>
          <w:p w:rsidR="002B18DF" w:rsidRPr="002B18DF" w:rsidRDefault="002B18DF" w:rsidP="002B18DF">
            <w:pPr>
              <w:spacing w:line="360" w:lineRule="auto"/>
              <w:jc w:val="center"/>
              <w:rPr>
                <w:rFonts w:ascii="Arial" w:hAnsi="Arial" w:cs="Arial"/>
              </w:rPr>
            </w:pPr>
            <w:r>
              <w:rPr>
                <w:rFonts w:ascii="Arial" w:hAnsi="Arial" w:cs="Arial"/>
              </w:rPr>
              <w:t>C</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3.0</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200</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1.50</w:t>
            </w:r>
          </w:p>
        </w:tc>
        <w:tc>
          <w:tcPr>
            <w:tcW w:w="1596" w:type="dxa"/>
          </w:tcPr>
          <w:p w:rsidR="002B18DF" w:rsidRPr="002B18DF" w:rsidRDefault="002B18DF" w:rsidP="002B18DF">
            <w:pPr>
              <w:spacing w:line="360" w:lineRule="auto"/>
              <w:jc w:val="center"/>
              <w:rPr>
                <w:rFonts w:ascii="Arial" w:hAnsi="Arial" w:cs="Arial"/>
              </w:rPr>
            </w:pPr>
            <w:r>
              <w:rPr>
                <w:rFonts w:ascii="Arial" w:hAnsi="Arial" w:cs="Arial"/>
              </w:rPr>
              <w:t>1.30</w:t>
            </w:r>
          </w:p>
        </w:tc>
        <w:tc>
          <w:tcPr>
            <w:tcW w:w="1596" w:type="dxa"/>
          </w:tcPr>
          <w:p w:rsidR="002B18DF" w:rsidRPr="002B18DF" w:rsidRDefault="002B18DF" w:rsidP="009F1B6D">
            <w:pPr>
              <w:spacing w:line="360" w:lineRule="auto"/>
              <w:jc w:val="center"/>
              <w:rPr>
                <w:rFonts w:ascii="Arial" w:hAnsi="Arial" w:cs="Arial"/>
              </w:rPr>
            </w:pPr>
            <w:r>
              <w:rPr>
                <w:rFonts w:ascii="Arial" w:hAnsi="Arial" w:cs="Arial"/>
              </w:rPr>
              <w:t>5.0</w:t>
            </w:r>
          </w:p>
        </w:tc>
      </w:tr>
      <w:tr w:rsidR="002B18DF" w:rsidRPr="002B18DF" w:rsidTr="002B18DF">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D</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5.5</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200</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2.75</w:t>
            </w:r>
          </w:p>
        </w:tc>
        <w:tc>
          <w:tcPr>
            <w:tcW w:w="1596" w:type="dxa"/>
            <w:shd w:val="pct20" w:color="auto" w:fill="auto"/>
          </w:tcPr>
          <w:p w:rsidR="002B18DF" w:rsidRPr="002B18DF" w:rsidRDefault="002B18DF" w:rsidP="002B18DF">
            <w:pPr>
              <w:spacing w:line="360" w:lineRule="auto"/>
              <w:jc w:val="center"/>
              <w:rPr>
                <w:rFonts w:ascii="Arial" w:hAnsi="Arial" w:cs="Arial"/>
              </w:rPr>
            </w:pPr>
            <w:r>
              <w:rPr>
                <w:rFonts w:ascii="Arial" w:hAnsi="Arial" w:cs="Arial"/>
              </w:rPr>
              <w:t>2.55</w:t>
            </w:r>
          </w:p>
        </w:tc>
        <w:tc>
          <w:tcPr>
            <w:tcW w:w="1596" w:type="dxa"/>
            <w:shd w:val="pct20" w:color="auto" w:fill="auto"/>
          </w:tcPr>
          <w:p w:rsidR="002B18DF" w:rsidRPr="002B18DF" w:rsidRDefault="002B18DF" w:rsidP="009F1B6D">
            <w:pPr>
              <w:spacing w:line="360" w:lineRule="auto"/>
              <w:jc w:val="center"/>
              <w:rPr>
                <w:rFonts w:ascii="Arial" w:hAnsi="Arial" w:cs="Arial"/>
              </w:rPr>
            </w:pPr>
            <w:r>
              <w:rPr>
                <w:rFonts w:ascii="Arial" w:hAnsi="Arial" w:cs="Arial"/>
              </w:rPr>
              <w:t>10.0</w:t>
            </w:r>
          </w:p>
        </w:tc>
      </w:tr>
    </w:tbl>
    <w:p w:rsidR="002B18DF" w:rsidRPr="002B18DF" w:rsidRDefault="002B18DF" w:rsidP="00414962">
      <w:pPr>
        <w:spacing w:after="0" w:line="360" w:lineRule="auto"/>
        <w:rPr>
          <w:rFonts w:ascii="Arial" w:hAnsi="Arial" w:cs="Arial"/>
        </w:rPr>
      </w:pPr>
    </w:p>
    <w:p w:rsidR="00414962" w:rsidRPr="002B18DF" w:rsidRDefault="00414962" w:rsidP="00414962">
      <w:pPr>
        <w:spacing w:after="0" w:line="360" w:lineRule="auto"/>
        <w:rPr>
          <w:rFonts w:ascii="Arial" w:hAnsi="Arial" w:cs="Arial"/>
        </w:rPr>
      </w:pPr>
    </w:p>
    <w:p w:rsidR="00414962" w:rsidRPr="002B18DF" w:rsidRDefault="00414962" w:rsidP="00414962">
      <w:pPr>
        <w:spacing w:line="360" w:lineRule="auto"/>
        <w:rPr>
          <w:rFonts w:ascii="Arial" w:hAnsi="Arial" w:cs="Arial"/>
        </w:rPr>
      </w:pPr>
      <w:r w:rsidRPr="002B18DF">
        <w:rPr>
          <w:rFonts w:ascii="Arial" w:hAnsi="Arial" w:cs="Arial"/>
        </w:rPr>
        <w:t xml:space="preserve">An example concentration profile at the end of the finite-element simulations is shown in Figure S1B, and comparisons of daily release rate profiles from the finite-element simulations and computed using Equation 11 are shown in Figure S2. Equation 11 generally agreed with the simulations with two exceptions. First, the predicted drug release on day 1 was always significantly lower in the simulations compared to Equation 11. Since a concentration </w:t>
      </w:r>
      <w:r w:rsidRPr="002B18DF">
        <w:rPr>
          <w:rFonts w:ascii="Arial" w:hAnsi="Arial" w:cs="Arial"/>
        </w:rPr>
        <w:lastRenderedPageBreak/>
        <w:t>discontinuity exists on the outer boundary (</w:t>
      </w:r>
      <w:r w:rsidRPr="002B18DF">
        <w:rPr>
          <w:rFonts w:ascii="Arial" w:hAnsi="Arial" w:cs="Arial"/>
          <w:i/>
        </w:rPr>
        <w:t>r</w:t>
      </w:r>
      <w:r w:rsidRPr="002B18DF">
        <w:rPr>
          <w:rFonts w:ascii="Arial" w:hAnsi="Arial" w:cs="Arial"/>
          <w:i/>
          <w:vertAlign w:val="subscript"/>
        </w:rPr>
        <w:t>o</w:t>
      </w:r>
      <w:r w:rsidRPr="002B18DF">
        <w:rPr>
          <w:rFonts w:ascii="Arial" w:hAnsi="Arial" w:cs="Arial"/>
        </w:rPr>
        <w:t xml:space="preserve">) at t=0, there is bound to be some difficulty in accurately predicting the actual day 1 release using a numerical method. Second, two models generally disagreed during the changeover between the </w:t>
      </w:r>
      <w:r w:rsidR="00346036">
        <w:rPr>
          <w:rFonts w:ascii="Arial" w:hAnsi="Arial" w:cs="Arial"/>
        </w:rPr>
        <w:t xml:space="preserve">burst and steady state regimes </w:t>
      </w:r>
      <w:r w:rsidRPr="002B18DF">
        <w:rPr>
          <w:rFonts w:ascii="Arial" w:hAnsi="Arial" w:cs="Arial"/>
        </w:rPr>
        <w:t>of drug release. As noted during the derivation, our model treats this changeover as an instantaneous switch occur</w:t>
      </w:r>
      <w:r w:rsidR="0038044D">
        <w:rPr>
          <w:rFonts w:ascii="Arial" w:hAnsi="Arial" w:cs="Arial"/>
        </w:rPr>
        <w:t>r</w:t>
      </w:r>
      <w:r w:rsidRPr="002B18DF">
        <w:rPr>
          <w:rFonts w:ascii="Arial" w:hAnsi="Arial" w:cs="Arial"/>
        </w:rPr>
        <w:t xml:space="preserve">ing at </w:t>
      </w:r>
      <w:r w:rsidRPr="002B18DF">
        <w:rPr>
          <w:rFonts w:ascii="Arial" w:hAnsi="Arial" w:cs="Arial"/>
          <w:i/>
        </w:rPr>
        <w:t>(t</w:t>
      </w:r>
      <w:r w:rsidRPr="002B18DF">
        <w:rPr>
          <w:rFonts w:ascii="Arial" w:hAnsi="Arial" w:cs="Arial"/>
          <w:i/>
          <w:vertAlign w:val="subscript"/>
        </w:rPr>
        <w:t>b</w:t>
      </w:r>
      <w:r w:rsidRPr="002B18DF">
        <w:rPr>
          <w:rFonts w:ascii="Arial" w:hAnsi="Arial" w:cs="Arial"/>
          <w:i/>
        </w:rPr>
        <w:t>)</w:t>
      </w:r>
      <w:r w:rsidR="0038044D">
        <w:rPr>
          <w:rFonts w:ascii="Arial" w:hAnsi="Arial" w:cs="Arial"/>
        </w:rPr>
        <w:t xml:space="preserve">, during which </w:t>
      </w:r>
      <w:r w:rsidRPr="002B18DF">
        <w:rPr>
          <w:rFonts w:ascii="Arial" w:hAnsi="Arial" w:cs="Arial"/>
        </w:rPr>
        <w:t xml:space="preserve">drug fluxes are likely to be underestimated while the concentration profile adjusts to the constraint of the inner boundary at </w:t>
      </w:r>
      <w:r w:rsidRPr="002B18DF">
        <w:rPr>
          <w:rFonts w:ascii="Arial" w:hAnsi="Arial" w:cs="Arial"/>
          <w:i/>
        </w:rPr>
        <w:t>r</w:t>
      </w:r>
      <w:r w:rsidRPr="002B18DF">
        <w:rPr>
          <w:rFonts w:ascii="Arial" w:hAnsi="Arial" w:cs="Arial"/>
          <w:i/>
          <w:vertAlign w:val="subscript"/>
        </w:rPr>
        <w:t>i</w:t>
      </w:r>
      <w:r w:rsidRPr="002B18DF">
        <w:rPr>
          <w:rFonts w:ascii="Arial" w:hAnsi="Arial" w:cs="Arial"/>
        </w:rPr>
        <w:t xml:space="preserve">. The models generally agree after this point, except for configuration C, where Equation 11 continued to under-predict the results of the simulation by an average of 18% during the predicted reservoir-stage (from day 19 onward). Based on the configurations that were simulated, the adjustment between the matrix and reservoir concentration profiles likely takes longer for proportionally thicker RCM (higher values of </w:t>
      </w:r>
      <w:r w:rsidRPr="002B18DF">
        <w:rPr>
          <w:rFonts w:ascii="Arial" w:hAnsi="Arial" w:cs="Arial"/>
          <w:i/>
        </w:rPr>
        <w:t>r</w:t>
      </w:r>
      <w:r w:rsidRPr="002B18DF">
        <w:rPr>
          <w:rFonts w:ascii="Arial" w:hAnsi="Arial" w:cs="Arial"/>
          <w:i/>
          <w:vertAlign w:val="subscript"/>
        </w:rPr>
        <w:t>i</w:t>
      </w:r>
      <w:r w:rsidRPr="002B18DF">
        <w:rPr>
          <w:rFonts w:ascii="Arial" w:hAnsi="Arial" w:cs="Arial"/>
          <w:i/>
        </w:rPr>
        <w:t>/r</w:t>
      </w:r>
      <w:r w:rsidRPr="002B18DF">
        <w:rPr>
          <w:rFonts w:ascii="Arial" w:hAnsi="Arial" w:cs="Arial"/>
          <w:i/>
          <w:vertAlign w:val="subscript"/>
        </w:rPr>
        <w:t>o</w:t>
      </w:r>
      <w:r w:rsidRPr="002B18DF">
        <w:rPr>
          <w:rFonts w:ascii="Arial" w:hAnsi="Arial" w:cs="Arial"/>
        </w:rPr>
        <w:t>). This may be due to the first-term approximation used to predict matrix-stage release (Equation 11a), that is increasingly inaccurate for higher values of cumulative release, and only to be used for the first 20-30% of release (13% is released in the matrix-stage in configuration C). As mentioned in the manuscript, this model will be the most accurate for thinner membranes, and a higher order approximation would need to be used to predict matrix-stage release for proportionally thicker membranes, as well as a re-calculation of the burst duration (</w:t>
      </w:r>
      <w:r w:rsidRPr="002B18DF">
        <w:rPr>
          <w:rFonts w:ascii="Arial" w:hAnsi="Arial" w:cs="Arial"/>
          <w:i/>
        </w:rPr>
        <w:t>t</w:t>
      </w:r>
      <w:r w:rsidRPr="002B18DF">
        <w:rPr>
          <w:rFonts w:ascii="Arial" w:hAnsi="Arial" w:cs="Arial"/>
          <w:i/>
          <w:vertAlign w:val="subscript"/>
        </w:rPr>
        <w:t>b</w:t>
      </w:r>
      <w:r w:rsidRPr="002B18DF">
        <w:rPr>
          <w:rFonts w:ascii="Arial" w:hAnsi="Arial" w:cs="Arial"/>
        </w:rPr>
        <w:t xml:space="preserve">). Nonetheless, day 2 to day 90 </w:t>
      </w:r>
      <w:r w:rsidRPr="002B18DF">
        <w:rPr>
          <w:rFonts w:ascii="Arial" w:hAnsi="Arial" w:cs="Arial"/>
          <w:i/>
        </w:rPr>
        <w:t>R</w:t>
      </w:r>
      <w:r w:rsidRPr="002B18DF">
        <w:rPr>
          <w:rFonts w:ascii="Arial" w:hAnsi="Arial" w:cs="Arial"/>
          <w:i/>
          <w:vertAlign w:val="superscript"/>
        </w:rPr>
        <w:t>2</w:t>
      </w:r>
      <w:r w:rsidRPr="002B18DF">
        <w:rPr>
          <w:rFonts w:ascii="Arial" w:hAnsi="Arial" w:cs="Arial"/>
        </w:rPr>
        <w:t xml:space="preserve"> values were greater than 0.90 for all four configurations, confirming that this is a sufficiently accurate predictor of drug diffusion in cylindrical reservoirs and useful for device design and optimization.</w:t>
      </w:r>
      <w:r w:rsidR="005149CB">
        <w:rPr>
          <w:rFonts w:ascii="Arial" w:hAnsi="Arial" w:cs="Arial"/>
        </w:rPr>
        <w:t xml:space="preserve"> Also interesting is that the core does not appear to be completely well mixed in</w:t>
      </w:r>
      <w:r w:rsidR="00FE18E5">
        <w:rPr>
          <w:rFonts w:ascii="Arial" w:hAnsi="Arial" w:cs="Arial"/>
        </w:rPr>
        <w:t xml:space="preserve"> Figure</w:t>
      </w:r>
      <w:r w:rsidR="005149CB">
        <w:rPr>
          <w:rFonts w:ascii="Arial" w:hAnsi="Arial" w:cs="Arial"/>
        </w:rPr>
        <w:t xml:space="preserve"> S1B as </w:t>
      </w:r>
      <w:r w:rsidR="0038044D">
        <w:rPr>
          <w:rFonts w:ascii="Arial" w:hAnsi="Arial" w:cs="Arial"/>
        </w:rPr>
        <w:t>per</w:t>
      </w:r>
      <w:r w:rsidR="005149CB">
        <w:rPr>
          <w:rFonts w:ascii="Arial" w:hAnsi="Arial" w:cs="Arial"/>
        </w:rPr>
        <w:t xml:space="preserve"> our assumption, even with core and membrane diffusivity values that were 100-fold different. Howeve</w:t>
      </w:r>
      <w:r w:rsidR="0038044D">
        <w:rPr>
          <w:rFonts w:ascii="Arial" w:hAnsi="Arial" w:cs="Arial"/>
        </w:rPr>
        <w:t xml:space="preserve">r, based on </w:t>
      </w:r>
      <w:r w:rsidR="005149CB">
        <w:rPr>
          <w:rFonts w:ascii="Arial" w:hAnsi="Arial" w:cs="Arial"/>
        </w:rPr>
        <w:t>Figure S2A, this does not appear to significantly affect the accuracy of Equation 11 in this setup.</w:t>
      </w:r>
    </w:p>
    <w:tbl>
      <w:tblPr>
        <w:tblStyle w:val="TableGrid"/>
        <w:tblW w:w="0" w:type="auto"/>
        <w:tblLook w:val="04A0"/>
      </w:tblPr>
      <w:tblGrid>
        <w:gridCol w:w="9576"/>
      </w:tblGrid>
      <w:tr w:rsidR="00414962" w:rsidRPr="002B18DF" w:rsidTr="00414962">
        <w:tc>
          <w:tcPr>
            <w:tcW w:w="9576" w:type="dxa"/>
          </w:tcPr>
          <w:p w:rsidR="00414962" w:rsidRPr="002B18DF" w:rsidRDefault="000F0D85" w:rsidP="00B05CF6">
            <w:pPr>
              <w:spacing w:line="360" w:lineRule="auto"/>
              <w:jc w:val="center"/>
              <w:rPr>
                <w:rFonts w:ascii="Arial" w:hAnsi="Arial" w:cs="Arial"/>
                <w:b/>
              </w:rPr>
            </w:pPr>
            <w:r>
              <w:rPr>
                <w:rFonts w:ascii="Arial" w:hAnsi="Arial" w:cs="Arial"/>
                <w:b/>
                <w:noProof/>
              </w:rPr>
              <w:lastRenderedPageBreak/>
              <w:drawing>
                <wp:inline distT="0" distB="0" distL="0" distR="0">
                  <wp:extent cx="5735476" cy="4480560"/>
                  <wp:effectExtent l="19050" t="0" r="0" b="0"/>
                  <wp:docPr id="1" name="Picture 0" descr="Figure S2 new mod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 new models.png"/>
                          <pic:cNvPicPr/>
                        </pic:nvPicPr>
                        <pic:blipFill>
                          <a:blip r:embed="rId8" cstate="print"/>
                          <a:stretch>
                            <a:fillRect/>
                          </a:stretch>
                        </pic:blipFill>
                        <pic:spPr>
                          <a:xfrm>
                            <a:off x="0" y="0"/>
                            <a:ext cx="5735476" cy="4480560"/>
                          </a:xfrm>
                          <a:prstGeom prst="rect">
                            <a:avLst/>
                          </a:prstGeom>
                        </pic:spPr>
                      </pic:pic>
                    </a:graphicData>
                  </a:graphic>
                </wp:inline>
              </w:drawing>
            </w:r>
          </w:p>
        </w:tc>
      </w:tr>
      <w:tr w:rsidR="00414962" w:rsidRPr="002B18DF" w:rsidTr="00414962">
        <w:tc>
          <w:tcPr>
            <w:tcW w:w="9576" w:type="dxa"/>
          </w:tcPr>
          <w:p w:rsidR="00414962" w:rsidRPr="002B18DF" w:rsidRDefault="00414962" w:rsidP="009B4561">
            <w:pPr>
              <w:spacing w:line="360" w:lineRule="auto"/>
              <w:rPr>
                <w:rFonts w:ascii="Arial" w:hAnsi="Arial" w:cs="Arial"/>
                <w:b/>
              </w:rPr>
            </w:pPr>
            <w:r w:rsidRPr="002B18DF">
              <w:rPr>
                <w:rFonts w:ascii="Arial" w:hAnsi="Arial" w:cs="Arial"/>
                <w:b/>
              </w:rPr>
              <w:t xml:space="preserve">Figure S2: </w:t>
            </w:r>
            <w:r w:rsidRPr="002B18DF">
              <w:rPr>
                <w:rFonts w:ascii="Arial" w:hAnsi="Arial" w:cs="Arial"/>
              </w:rPr>
              <w:t xml:space="preserve">Comparison of </w:t>
            </w:r>
            <w:r w:rsidR="00346036">
              <w:rPr>
                <w:rFonts w:ascii="Arial" w:hAnsi="Arial" w:cs="Arial"/>
              </w:rPr>
              <w:t xml:space="preserve">a </w:t>
            </w:r>
            <w:r w:rsidRPr="002B18DF">
              <w:rPr>
                <w:rFonts w:ascii="Arial" w:hAnsi="Arial" w:cs="Arial"/>
              </w:rPr>
              <w:t xml:space="preserve">finite-element diffusion model and </w:t>
            </w:r>
            <w:r w:rsidR="00346036">
              <w:rPr>
                <w:rFonts w:ascii="Arial" w:hAnsi="Arial" w:cs="Arial"/>
              </w:rPr>
              <w:t xml:space="preserve">our </w:t>
            </w:r>
            <w:r w:rsidRPr="002B18DF">
              <w:rPr>
                <w:rFonts w:ascii="Arial" w:hAnsi="Arial" w:cs="Arial"/>
              </w:rPr>
              <w:t xml:space="preserve">analytical model (Equation 11) for drug release from cylindrical reservoirs. Panels A, B, C and D correspond to the </w:t>
            </w:r>
            <w:r w:rsidR="009B4561">
              <w:rPr>
                <w:rFonts w:ascii="Arial" w:hAnsi="Arial" w:cs="Arial"/>
              </w:rPr>
              <w:t>"Configuration" column</w:t>
            </w:r>
            <w:r w:rsidR="009B4561" w:rsidRPr="002B18DF">
              <w:rPr>
                <w:rFonts w:ascii="Arial" w:hAnsi="Arial" w:cs="Arial"/>
              </w:rPr>
              <w:t xml:space="preserve"> </w:t>
            </w:r>
            <w:r w:rsidRPr="002B18DF">
              <w:rPr>
                <w:rFonts w:ascii="Arial" w:hAnsi="Arial" w:cs="Arial"/>
              </w:rPr>
              <w:t>in Table S1.</w:t>
            </w:r>
          </w:p>
        </w:tc>
      </w:tr>
    </w:tbl>
    <w:p w:rsidR="00414962" w:rsidRDefault="00414962" w:rsidP="00414962">
      <w:pPr>
        <w:spacing w:line="360" w:lineRule="auto"/>
        <w:rPr>
          <w:rFonts w:ascii="Arial" w:hAnsi="Arial" w:cs="Arial"/>
          <w:b/>
        </w:rPr>
      </w:pPr>
    </w:p>
    <w:p w:rsidR="00ED6CCE" w:rsidRPr="002B18DF" w:rsidRDefault="00ED6CCE" w:rsidP="00ED6CCE">
      <w:pPr>
        <w:spacing w:after="0" w:line="360" w:lineRule="auto"/>
        <w:rPr>
          <w:rFonts w:ascii="Arial" w:hAnsi="Arial" w:cs="Arial"/>
          <w:i/>
          <w:u w:val="single"/>
        </w:rPr>
      </w:pPr>
      <w:r w:rsidRPr="002B18DF">
        <w:rPr>
          <w:rFonts w:ascii="Arial" w:hAnsi="Arial" w:cs="Arial"/>
          <w:i/>
          <w:u w:val="single"/>
        </w:rPr>
        <w:t>Gradient HPLC methods for quantification of LNG in in vitro release samples</w:t>
      </w:r>
    </w:p>
    <w:p w:rsidR="00ED6CCE" w:rsidRPr="002B18DF" w:rsidRDefault="00ED6CCE" w:rsidP="00ED6CCE">
      <w:pPr>
        <w:spacing w:line="360" w:lineRule="auto"/>
        <w:rPr>
          <w:rFonts w:ascii="Arial" w:hAnsi="Arial" w:cs="Arial"/>
        </w:rPr>
      </w:pPr>
      <w:r w:rsidRPr="002B18DF">
        <w:rPr>
          <w:rFonts w:ascii="Arial" w:hAnsi="Arial" w:cs="Arial"/>
        </w:rPr>
        <w:t xml:space="preserve">Two gradient HPLC methods were used to quantify LNG in </w:t>
      </w:r>
      <w:r w:rsidRPr="002B18DF">
        <w:rPr>
          <w:rFonts w:ascii="Arial" w:hAnsi="Arial" w:cs="Arial"/>
          <w:i/>
        </w:rPr>
        <w:t>in vitro</w:t>
      </w:r>
      <w:r w:rsidRPr="002B18DF">
        <w:rPr>
          <w:rFonts w:ascii="Arial" w:hAnsi="Arial" w:cs="Arial"/>
        </w:rPr>
        <w:t xml:space="preserve"> release samples. In both cases a 1200 Series HPLC with a quaternary pump and diode array detector (Agilent Technologies, Santa Clara, California) and a 4.6 x 250 mm, 5 µm Zorbax ODS column (also Agilent Technologies) were used. For samples from LNG segment tests a 7-minute gradient of H</w:t>
      </w:r>
      <w:r w:rsidRPr="002B18DF">
        <w:rPr>
          <w:rFonts w:ascii="Arial" w:hAnsi="Arial" w:cs="Arial"/>
          <w:vertAlign w:val="subscript"/>
        </w:rPr>
        <w:t>2</w:t>
      </w:r>
      <w:r w:rsidRPr="002B18DF">
        <w:rPr>
          <w:rFonts w:ascii="Arial" w:hAnsi="Arial" w:cs="Arial"/>
        </w:rPr>
        <w:t>O and acetonitrile (ACN) was used (Table S</w:t>
      </w:r>
      <w:r w:rsidR="00FE18E5">
        <w:rPr>
          <w:rFonts w:ascii="Arial" w:hAnsi="Arial" w:cs="Arial"/>
        </w:rPr>
        <w:t>2</w:t>
      </w:r>
      <w:r w:rsidRPr="002B18DF">
        <w:rPr>
          <w:rFonts w:ascii="Arial" w:hAnsi="Arial" w:cs="Arial"/>
        </w:rPr>
        <w:t>), whereas for samples from full TFV/LNG IVR tests an 18-minute gradient of 0.1% formic acid in H</w:t>
      </w:r>
      <w:r w:rsidRPr="002B18DF">
        <w:rPr>
          <w:rFonts w:ascii="Arial" w:hAnsi="Arial" w:cs="Arial"/>
          <w:vertAlign w:val="subscript"/>
        </w:rPr>
        <w:t>2</w:t>
      </w:r>
      <w:r w:rsidRPr="002B18DF">
        <w:rPr>
          <w:rFonts w:ascii="Arial" w:hAnsi="Arial" w:cs="Arial"/>
        </w:rPr>
        <w:t>O and 0.1% formic acid in ACN was used (Table S</w:t>
      </w:r>
      <w:r w:rsidR="00FE18E5">
        <w:rPr>
          <w:rFonts w:ascii="Arial" w:hAnsi="Arial" w:cs="Arial"/>
        </w:rPr>
        <w:t>3</w:t>
      </w:r>
      <w:r w:rsidRPr="002B18DF">
        <w:rPr>
          <w:rFonts w:ascii="Arial" w:hAnsi="Arial" w:cs="Arial"/>
        </w:rPr>
        <w:t xml:space="preserve">). In both cases, LNG was detected at 240 nm.   </w:t>
      </w:r>
    </w:p>
    <w:tbl>
      <w:tblPr>
        <w:tblStyle w:val="TableGrid"/>
        <w:tblW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070"/>
        <w:gridCol w:w="2250"/>
      </w:tblGrid>
      <w:tr w:rsidR="00ED6CCE" w:rsidRPr="002B18DF" w:rsidTr="00E622F1">
        <w:tc>
          <w:tcPr>
            <w:tcW w:w="5868" w:type="dxa"/>
            <w:gridSpan w:val="3"/>
          </w:tcPr>
          <w:p w:rsidR="00ED6CCE" w:rsidRDefault="00ED6CCE" w:rsidP="00E622F1">
            <w:pPr>
              <w:spacing w:line="360" w:lineRule="auto"/>
              <w:rPr>
                <w:rFonts w:ascii="Arial" w:hAnsi="Arial" w:cs="Arial"/>
                <w:b/>
              </w:rPr>
            </w:pPr>
          </w:p>
          <w:p w:rsidR="00630540" w:rsidRPr="002B18DF" w:rsidRDefault="00630540" w:rsidP="00E622F1">
            <w:pPr>
              <w:spacing w:line="360" w:lineRule="auto"/>
              <w:rPr>
                <w:rFonts w:ascii="Arial" w:hAnsi="Arial" w:cs="Arial"/>
                <w:b/>
              </w:rPr>
            </w:pPr>
          </w:p>
          <w:p w:rsidR="00ED6CCE" w:rsidRPr="002B18DF" w:rsidRDefault="00ED6CCE" w:rsidP="00E622F1">
            <w:pPr>
              <w:spacing w:line="360" w:lineRule="auto"/>
              <w:rPr>
                <w:rFonts w:ascii="Arial" w:hAnsi="Arial" w:cs="Arial"/>
                <w:b/>
              </w:rPr>
            </w:pPr>
            <w:r w:rsidRPr="002B18DF">
              <w:rPr>
                <w:rFonts w:ascii="Arial" w:hAnsi="Arial" w:cs="Arial"/>
                <w:b/>
              </w:rPr>
              <w:lastRenderedPageBreak/>
              <w:t xml:space="preserve">Table S2: </w:t>
            </w:r>
            <w:r w:rsidRPr="002B18DF">
              <w:rPr>
                <w:rFonts w:ascii="Arial" w:hAnsi="Arial" w:cs="Arial"/>
              </w:rPr>
              <w:t>HPLC</w:t>
            </w:r>
            <w:r w:rsidRPr="002B18DF">
              <w:rPr>
                <w:rFonts w:ascii="Arial" w:hAnsi="Arial" w:cs="Arial"/>
                <w:b/>
              </w:rPr>
              <w:t xml:space="preserve"> </w:t>
            </w:r>
            <w:r w:rsidRPr="002B18DF">
              <w:rPr>
                <w:rFonts w:ascii="Arial" w:hAnsi="Arial" w:cs="Arial"/>
              </w:rPr>
              <w:t xml:space="preserve">gradient profile for detection of LNG alone in </w:t>
            </w:r>
            <w:r w:rsidRPr="002B18DF">
              <w:rPr>
                <w:rFonts w:ascii="Arial" w:hAnsi="Arial" w:cs="Arial"/>
                <w:i/>
              </w:rPr>
              <w:t>in vitro</w:t>
            </w:r>
            <w:r w:rsidRPr="002B18DF">
              <w:rPr>
                <w:rFonts w:ascii="Arial" w:hAnsi="Arial" w:cs="Arial"/>
              </w:rPr>
              <w:t xml:space="preserve"> release samples. Line A: H</w:t>
            </w:r>
            <w:r w:rsidRPr="002B18DF">
              <w:rPr>
                <w:rFonts w:ascii="Arial" w:hAnsi="Arial" w:cs="Arial"/>
                <w:vertAlign w:val="subscript"/>
              </w:rPr>
              <w:t>2</w:t>
            </w:r>
            <w:r w:rsidRPr="002B18DF">
              <w:rPr>
                <w:rFonts w:ascii="Arial" w:hAnsi="Arial" w:cs="Arial"/>
              </w:rPr>
              <w:t>O, Line B: ACN. A flow rate of 1.1 mL/min was applied throughout the method.</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lastRenderedPageBreak/>
              <w:t>Time (min)</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 Line A</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 Line B</w:t>
            </w:r>
          </w:p>
        </w:tc>
      </w:tr>
      <w:tr w:rsidR="00ED6CCE" w:rsidRPr="002B18DF" w:rsidTr="00E622F1">
        <w:tc>
          <w:tcPr>
            <w:tcW w:w="1548" w:type="dxa"/>
          </w:tcPr>
          <w:p w:rsidR="00ED6CCE" w:rsidRPr="002B18DF" w:rsidRDefault="00ED6CCE" w:rsidP="00E622F1">
            <w:pPr>
              <w:spacing w:line="360" w:lineRule="auto"/>
              <w:jc w:val="center"/>
              <w:rPr>
                <w:rFonts w:ascii="Arial" w:hAnsi="Arial" w:cs="Arial"/>
              </w:rPr>
            </w:pPr>
            <w:r w:rsidRPr="002B18DF">
              <w:rPr>
                <w:rFonts w:ascii="Arial" w:hAnsi="Arial" w:cs="Arial"/>
              </w:rPr>
              <w:t>0.0</w:t>
            </w:r>
          </w:p>
        </w:tc>
        <w:tc>
          <w:tcPr>
            <w:tcW w:w="2070" w:type="dxa"/>
          </w:tcPr>
          <w:p w:rsidR="00ED6CCE" w:rsidRPr="002B18DF" w:rsidRDefault="00ED6CCE" w:rsidP="00E622F1">
            <w:pPr>
              <w:spacing w:line="360" w:lineRule="auto"/>
              <w:jc w:val="center"/>
              <w:rPr>
                <w:rFonts w:ascii="Arial" w:hAnsi="Arial" w:cs="Arial"/>
              </w:rPr>
            </w:pPr>
            <w:r w:rsidRPr="002B18DF">
              <w:rPr>
                <w:rFonts w:ascii="Arial" w:hAnsi="Arial" w:cs="Arial"/>
              </w:rPr>
              <w:t>30</w:t>
            </w:r>
          </w:p>
        </w:tc>
        <w:tc>
          <w:tcPr>
            <w:tcW w:w="2250" w:type="dxa"/>
          </w:tcPr>
          <w:p w:rsidR="00ED6CCE" w:rsidRPr="002B18DF" w:rsidRDefault="00ED6CCE" w:rsidP="00E622F1">
            <w:pPr>
              <w:spacing w:line="360" w:lineRule="auto"/>
              <w:jc w:val="center"/>
              <w:rPr>
                <w:rFonts w:ascii="Arial" w:hAnsi="Arial" w:cs="Arial"/>
              </w:rPr>
            </w:pPr>
            <w:r w:rsidRPr="002B18DF">
              <w:rPr>
                <w:rFonts w:ascii="Arial" w:hAnsi="Arial" w:cs="Arial"/>
              </w:rPr>
              <w:t>70</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2.0</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30</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70</w:t>
            </w:r>
          </w:p>
        </w:tc>
      </w:tr>
      <w:tr w:rsidR="00ED6CCE" w:rsidRPr="002B18DF" w:rsidTr="00E622F1">
        <w:tc>
          <w:tcPr>
            <w:tcW w:w="1548" w:type="dxa"/>
          </w:tcPr>
          <w:p w:rsidR="00ED6CCE" w:rsidRPr="002B18DF" w:rsidRDefault="00ED6CCE" w:rsidP="00E622F1">
            <w:pPr>
              <w:spacing w:line="360" w:lineRule="auto"/>
              <w:jc w:val="center"/>
              <w:rPr>
                <w:rFonts w:ascii="Arial" w:hAnsi="Arial" w:cs="Arial"/>
              </w:rPr>
            </w:pPr>
            <w:r w:rsidRPr="002B18DF">
              <w:rPr>
                <w:rFonts w:ascii="Arial" w:hAnsi="Arial" w:cs="Arial"/>
              </w:rPr>
              <w:t>2.5</w:t>
            </w:r>
          </w:p>
        </w:tc>
        <w:tc>
          <w:tcPr>
            <w:tcW w:w="2070" w:type="dxa"/>
          </w:tcPr>
          <w:p w:rsidR="00ED6CCE" w:rsidRPr="002B18DF" w:rsidRDefault="00ED6CCE" w:rsidP="00E622F1">
            <w:pPr>
              <w:spacing w:line="360" w:lineRule="auto"/>
              <w:jc w:val="center"/>
              <w:rPr>
                <w:rFonts w:ascii="Arial" w:hAnsi="Arial" w:cs="Arial"/>
              </w:rPr>
            </w:pPr>
            <w:r w:rsidRPr="002B18DF">
              <w:rPr>
                <w:rFonts w:ascii="Arial" w:hAnsi="Arial" w:cs="Arial"/>
              </w:rPr>
              <w:t>20</w:t>
            </w:r>
          </w:p>
        </w:tc>
        <w:tc>
          <w:tcPr>
            <w:tcW w:w="2250" w:type="dxa"/>
          </w:tcPr>
          <w:p w:rsidR="00ED6CCE" w:rsidRPr="002B18DF" w:rsidRDefault="00ED6CCE" w:rsidP="00E622F1">
            <w:pPr>
              <w:spacing w:line="360" w:lineRule="auto"/>
              <w:jc w:val="center"/>
              <w:rPr>
                <w:rFonts w:ascii="Arial" w:hAnsi="Arial" w:cs="Arial"/>
              </w:rPr>
            </w:pPr>
            <w:r w:rsidRPr="002B18DF">
              <w:rPr>
                <w:rFonts w:ascii="Arial" w:hAnsi="Arial" w:cs="Arial"/>
              </w:rPr>
              <w:t>80</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5.0</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20</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80</w:t>
            </w:r>
          </w:p>
        </w:tc>
      </w:tr>
      <w:tr w:rsidR="00ED6CCE" w:rsidRPr="002B18DF" w:rsidTr="00E622F1">
        <w:tc>
          <w:tcPr>
            <w:tcW w:w="1548" w:type="dxa"/>
          </w:tcPr>
          <w:p w:rsidR="00ED6CCE" w:rsidRPr="002B18DF" w:rsidRDefault="00ED6CCE" w:rsidP="00E622F1">
            <w:pPr>
              <w:spacing w:line="360" w:lineRule="auto"/>
              <w:jc w:val="center"/>
              <w:rPr>
                <w:rFonts w:ascii="Arial" w:hAnsi="Arial" w:cs="Arial"/>
              </w:rPr>
            </w:pPr>
            <w:r w:rsidRPr="002B18DF">
              <w:rPr>
                <w:rFonts w:ascii="Arial" w:hAnsi="Arial" w:cs="Arial"/>
              </w:rPr>
              <w:t>5.5</w:t>
            </w:r>
          </w:p>
        </w:tc>
        <w:tc>
          <w:tcPr>
            <w:tcW w:w="2070" w:type="dxa"/>
          </w:tcPr>
          <w:p w:rsidR="00ED6CCE" w:rsidRPr="002B18DF" w:rsidRDefault="00ED6CCE" w:rsidP="00E622F1">
            <w:pPr>
              <w:spacing w:line="360" w:lineRule="auto"/>
              <w:jc w:val="center"/>
              <w:rPr>
                <w:rFonts w:ascii="Arial" w:hAnsi="Arial" w:cs="Arial"/>
              </w:rPr>
            </w:pPr>
            <w:r w:rsidRPr="002B18DF">
              <w:rPr>
                <w:rFonts w:ascii="Arial" w:hAnsi="Arial" w:cs="Arial"/>
              </w:rPr>
              <w:t>30</w:t>
            </w:r>
          </w:p>
        </w:tc>
        <w:tc>
          <w:tcPr>
            <w:tcW w:w="2250" w:type="dxa"/>
          </w:tcPr>
          <w:p w:rsidR="00ED6CCE" w:rsidRPr="002B18DF" w:rsidRDefault="00ED6CCE" w:rsidP="00E622F1">
            <w:pPr>
              <w:spacing w:line="360" w:lineRule="auto"/>
              <w:jc w:val="center"/>
              <w:rPr>
                <w:rFonts w:ascii="Arial" w:hAnsi="Arial" w:cs="Arial"/>
              </w:rPr>
            </w:pPr>
            <w:r w:rsidRPr="002B18DF">
              <w:rPr>
                <w:rFonts w:ascii="Arial" w:hAnsi="Arial" w:cs="Arial"/>
              </w:rPr>
              <w:t>70</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7.0</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30</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70</w:t>
            </w:r>
          </w:p>
        </w:tc>
      </w:tr>
      <w:tr w:rsidR="00ED6CCE" w:rsidRPr="002B18DF" w:rsidTr="00E622F1">
        <w:tc>
          <w:tcPr>
            <w:tcW w:w="5868" w:type="dxa"/>
            <w:gridSpan w:val="3"/>
          </w:tcPr>
          <w:p w:rsidR="00ED6CCE" w:rsidRPr="002B18DF" w:rsidRDefault="00ED6CCE" w:rsidP="00E622F1">
            <w:pPr>
              <w:spacing w:line="360" w:lineRule="auto"/>
              <w:rPr>
                <w:rFonts w:ascii="Arial" w:hAnsi="Arial" w:cs="Arial"/>
                <w:b/>
              </w:rPr>
            </w:pPr>
          </w:p>
          <w:p w:rsidR="00ED6CCE" w:rsidRPr="002B18DF" w:rsidRDefault="00ED6CCE" w:rsidP="00E622F1">
            <w:pPr>
              <w:spacing w:line="360" w:lineRule="auto"/>
              <w:rPr>
                <w:rFonts w:ascii="Arial" w:hAnsi="Arial" w:cs="Arial"/>
                <w:b/>
              </w:rPr>
            </w:pPr>
            <w:r w:rsidRPr="002B18DF">
              <w:rPr>
                <w:rFonts w:ascii="Arial" w:hAnsi="Arial" w:cs="Arial"/>
                <w:b/>
              </w:rPr>
              <w:t xml:space="preserve">Table S3: </w:t>
            </w:r>
            <w:r w:rsidRPr="002B18DF">
              <w:rPr>
                <w:rFonts w:ascii="Arial" w:hAnsi="Arial" w:cs="Arial"/>
              </w:rPr>
              <w:t>HPLC</w:t>
            </w:r>
            <w:r w:rsidRPr="002B18DF">
              <w:rPr>
                <w:rFonts w:ascii="Arial" w:hAnsi="Arial" w:cs="Arial"/>
                <w:b/>
              </w:rPr>
              <w:t xml:space="preserve"> </w:t>
            </w:r>
            <w:r w:rsidRPr="002B18DF">
              <w:rPr>
                <w:rFonts w:ascii="Arial" w:hAnsi="Arial" w:cs="Arial"/>
              </w:rPr>
              <w:t xml:space="preserve">gradient profile for  LNG in TFV/LNG IVR </w:t>
            </w:r>
            <w:r w:rsidRPr="002B18DF">
              <w:rPr>
                <w:rFonts w:ascii="Arial" w:hAnsi="Arial" w:cs="Arial"/>
                <w:i/>
              </w:rPr>
              <w:t>in vitro</w:t>
            </w:r>
            <w:r w:rsidRPr="002B18DF">
              <w:rPr>
                <w:rFonts w:ascii="Arial" w:hAnsi="Arial" w:cs="Arial"/>
              </w:rPr>
              <w:t xml:space="preserve"> release samples. Line A: 0.1% formic acid in H</w:t>
            </w:r>
            <w:r w:rsidRPr="002B18DF">
              <w:rPr>
                <w:rFonts w:ascii="Arial" w:hAnsi="Arial" w:cs="Arial"/>
                <w:vertAlign w:val="subscript"/>
              </w:rPr>
              <w:t>2</w:t>
            </w:r>
            <w:r w:rsidRPr="002B18DF">
              <w:rPr>
                <w:rFonts w:ascii="Arial" w:hAnsi="Arial" w:cs="Arial"/>
              </w:rPr>
              <w:t>O, Line B: 0.1% formic acid in ACN. A flow rate of 1.0 mL/min was applied throughout the method.</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Time (min)</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 Line A</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 Line B</w:t>
            </w:r>
          </w:p>
        </w:tc>
      </w:tr>
      <w:tr w:rsidR="00ED6CCE" w:rsidRPr="002B18DF" w:rsidTr="00E622F1">
        <w:tc>
          <w:tcPr>
            <w:tcW w:w="1548" w:type="dxa"/>
          </w:tcPr>
          <w:p w:rsidR="00ED6CCE" w:rsidRPr="002B18DF" w:rsidRDefault="00ED6CCE" w:rsidP="00E622F1">
            <w:pPr>
              <w:spacing w:line="360" w:lineRule="auto"/>
              <w:jc w:val="center"/>
              <w:rPr>
                <w:rFonts w:ascii="Arial" w:hAnsi="Arial" w:cs="Arial"/>
              </w:rPr>
            </w:pPr>
            <w:r w:rsidRPr="002B18DF">
              <w:rPr>
                <w:rFonts w:ascii="Arial" w:hAnsi="Arial" w:cs="Arial"/>
              </w:rPr>
              <w:t>0.0</w:t>
            </w:r>
          </w:p>
        </w:tc>
        <w:tc>
          <w:tcPr>
            <w:tcW w:w="2070" w:type="dxa"/>
          </w:tcPr>
          <w:p w:rsidR="00ED6CCE" w:rsidRPr="002B18DF" w:rsidRDefault="00ED6CCE" w:rsidP="00E622F1">
            <w:pPr>
              <w:spacing w:line="360" w:lineRule="auto"/>
              <w:jc w:val="center"/>
              <w:rPr>
                <w:rFonts w:ascii="Arial" w:hAnsi="Arial" w:cs="Arial"/>
              </w:rPr>
            </w:pPr>
            <w:r w:rsidRPr="002B18DF">
              <w:rPr>
                <w:rFonts w:ascii="Arial" w:hAnsi="Arial" w:cs="Arial"/>
              </w:rPr>
              <w:t>100</w:t>
            </w:r>
          </w:p>
        </w:tc>
        <w:tc>
          <w:tcPr>
            <w:tcW w:w="2250" w:type="dxa"/>
          </w:tcPr>
          <w:p w:rsidR="00ED6CCE" w:rsidRPr="002B18DF" w:rsidRDefault="00ED6CCE" w:rsidP="00E622F1">
            <w:pPr>
              <w:spacing w:line="360" w:lineRule="auto"/>
              <w:jc w:val="center"/>
              <w:rPr>
                <w:rFonts w:ascii="Arial" w:hAnsi="Arial" w:cs="Arial"/>
              </w:rPr>
            </w:pPr>
            <w:r w:rsidRPr="002B18DF">
              <w:rPr>
                <w:rFonts w:ascii="Arial" w:hAnsi="Arial" w:cs="Arial"/>
              </w:rPr>
              <w:t>0</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8.0</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20</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80</w:t>
            </w:r>
          </w:p>
        </w:tc>
      </w:tr>
      <w:tr w:rsidR="00ED6CCE" w:rsidRPr="002B18DF" w:rsidTr="00E622F1">
        <w:tc>
          <w:tcPr>
            <w:tcW w:w="1548" w:type="dxa"/>
          </w:tcPr>
          <w:p w:rsidR="00ED6CCE" w:rsidRPr="002B18DF" w:rsidRDefault="00ED6CCE" w:rsidP="00E622F1">
            <w:pPr>
              <w:spacing w:line="360" w:lineRule="auto"/>
              <w:jc w:val="center"/>
              <w:rPr>
                <w:rFonts w:ascii="Arial" w:hAnsi="Arial" w:cs="Arial"/>
              </w:rPr>
            </w:pPr>
            <w:r w:rsidRPr="002B18DF">
              <w:rPr>
                <w:rFonts w:ascii="Arial" w:hAnsi="Arial" w:cs="Arial"/>
              </w:rPr>
              <w:t>13.0</w:t>
            </w:r>
          </w:p>
        </w:tc>
        <w:tc>
          <w:tcPr>
            <w:tcW w:w="2070" w:type="dxa"/>
          </w:tcPr>
          <w:p w:rsidR="00ED6CCE" w:rsidRPr="002B18DF" w:rsidRDefault="00ED6CCE" w:rsidP="00E622F1">
            <w:pPr>
              <w:spacing w:line="360" w:lineRule="auto"/>
              <w:jc w:val="center"/>
              <w:rPr>
                <w:rFonts w:ascii="Arial" w:hAnsi="Arial" w:cs="Arial"/>
              </w:rPr>
            </w:pPr>
            <w:r w:rsidRPr="002B18DF">
              <w:rPr>
                <w:rFonts w:ascii="Arial" w:hAnsi="Arial" w:cs="Arial"/>
              </w:rPr>
              <w:t>20</w:t>
            </w:r>
          </w:p>
        </w:tc>
        <w:tc>
          <w:tcPr>
            <w:tcW w:w="2250" w:type="dxa"/>
          </w:tcPr>
          <w:p w:rsidR="00ED6CCE" w:rsidRPr="002B18DF" w:rsidRDefault="00ED6CCE" w:rsidP="00E622F1">
            <w:pPr>
              <w:spacing w:line="360" w:lineRule="auto"/>
              <w:jc w:val="center"/>
              <w:rPr>
                <w:rFonts w:ascii="Arial" w:hAnsi="Arial" w:cs="Arial"/>
              </w:rPr>
            </w:pPr>
            <w:r w:rsidRPr="002B18DF">
              <w:rPr>
                <w:rFonts w:ascii="Arial" w:hAnsi="Arial" w:cs="Arial"/>
              </w:rPr>
              <w:t>80</w:t>
            </w:r>
          </w:p>
        </w:tc>
      </w:tr>
      <w:tr w:rsidR="00ED6CCE" w:rsidRPr="002B18DF" w:rsidTr="00E622F1">
        <w:tc>
          <w:tcPr>
            <w:tcW w:w="1548"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15.0</w:t>
            </w:r>
          </w:p>
        </w:tc>
        <w:tc>
          <w:tcPr>
            <w:tcW w:w="207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100</w:t>
            </w:r>
          </w:p>
        </w:tc>
        <w:tc>
          <w:tcPr>
            <w:tcW w:w="2250" w:type="dxa"/>
            <w:shd w:val="pct20" w:color="auto" w:fill="auto"/>
          </w:tcPr>
          <w:p w:rsidR="00ED6CCE" w:rsidRPr="002B18DF" w:rsidRDefault="00ED6CCE" w:rsidP="00E622F1">
            <w:pPr>
              <w:spacing w:line="360" w:lineRule="auto"/>
              <w:jc w:val="center"/>
              <w:rPr>
                <w:rFonts w:ascii="Arial" w:hAnsi="Arial" w:cs="Arial"/>
              </w:rPr>
            </w:pPr>
            <w:r w:rsidRPr="002B18DF">
              <w:rPr>
                <w:rFonts w:ascii="Arial" w:hAnsi="Arial" w:cs="Arial"/>
              </w:rPr>
              <w:t>0</w:t>
            </w:r>
          </w:p>
        </w:tc>
      </w:tr>
      <w:tr w:rsidR="00ED6CCE" w:rsidRPr="002B18DF" w:rsidTr="00E622F1">
        <w:tc>
          <w:tcPr>
            <w:tcW w:w="1548" w:type="dxa"/>
          </w:tcPr>
          <w:p w:rsidR="00ED6CCE" w:rsidRPr="002B18DF" w:rsidRDefault="00ED6CCE" w:rsidP="00E622F1">
            <w:pPr>
              <w:spacing w:line="360" w:lineRule="auto"/>
              <w:jc w:val="center"/>
              <w:rPr>
                <w:rFonts w:ascii="Arial" w:hAnsi="Arial" w:cs="Arial"/>
              </w:rPr>
            </w:pPr>
            <w:r w:rsidRPr="002B18DF">
              <w:rPr>
                <w:rFonts w:ascii="Arial" w:hAnsi="Arial" w:cs="Arial"/>
              </w:rPr>
              <w:t>18.0</w:t>
            </w:r>
          </w:p>
        </w:tc>
        <w:tc>
          <w:tcPr>
            <w:tcW w:w="2070" w:type="dxa"/>
          </w:tcPr>
          <w:p w:rsidR="00ED6CCE" w:rsidRPr="002B18DF" w:rsidRDefault="00ED6CCE" w:rsidP="00E622F1">
            <w:pPr>
              <w:spacing w:line="360" w:lineRule="auto"/>
              <w:jc w:val="center"/>
              <w:rPr>
                <w:rFonts w:ascii="Arial" w:hAnsi="Arial" w:cs="Arial"/>
              </w:rPr>
            </w:pPr>
            <w:r w:rsidRPr="002B18DF">
              <w:rPr>
                <w:rFonts w:ascii="Arial" w:hAnsi="Arial" w:cs="Arial"/>
              </w:rPr>
              <w:t>100</w:t>
            </w:r>
          </w:p>
        </w:tc>
        <w:tc>
          <w:tcPr>
            <w:tcW w:w="2250" w:type="dxa"/>
          </w:tcPr>
          <w:p w:rsidR="00ED6CCE" w:rsidRPr="002B18DF" w:rsidRDefault="00ED6CCE" w:rsidP="00E622F1">
            <w:pPr>
              <w:spacing w:line="360" w:lineRule="auto"/>
              <w:jc w:val="center"/>
              <w:rPr>
                <w:rFonts w:ascii="Arial" w:hAnsi="Arial" w:cs="Arial"/>
              </w:rPr>
            </w:pPr>
            <w:r w:rsidRPr="002B18DF">
              <w:rPr>
                <w:rFonts w:ascii="Arial" w:hAnsi="Arial" w:cs="Arial"/>
              </w:rPr>
              <w:t>0</w:t>
            </w:r>
          </w:p>
        </w:tc>
      </w:tr>
    </w:tbl>
    <w:p w:rsidR="00ED6CCE" w:rsidRPr="002B18DF" w:rsidRDefault="00ED6CCE" w:rsidP="00414962">
      <w:pPr>
        <w:spacing w:line="36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16761" w:rsidRPr="002B18DF" w:rsidTr="00417804">
        <w:tc>
          <w:tcPr>
            <w:tcW w:w="9576" w:type="dxa"/>
          </w:tcPr>
          <w:p w:rsidR="00216761" w:rsidRPr="002B18DF" w:rsidRDefault="00216761" w:rsidP="00417804">
            <w:pPr>
              <w:spacing w:line="360" w:lineRule="auto"/>
              <w:jc w:val="center"/>
              <w:rPr>
                <w:rFonts w:ascii="Arial" w:hAnsi="Arial" w:cs="Arial"/>
                <w:b/>
              </w:rPr>
            </w:pPr>
            <w:r w:rsidRPr="002B18DF">
              <w:rPr>
                <w:rFonts w:ascii="Arial" w:hAnsi="Arial" w:cs="Arial"/>
                <w:b/>
                <w:noProof/>
              </w:rPr>
              <w:lastRenderedPageBreak/>
              <w:drawing>
                <wp:inline distT="0" distB="0" distL="0" distR="0">
                  <wp:extent cx="6034286" cy="4662857"/>
                  <wp:effectExtent l="19050" t="0" r="4564" b="0"/>
                  <wp:docPr id="2" name="Picture 2" descr="Figure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b.png"/>
                          <pic:cNvPicPr/>
                        </pic:nvPicPr>
                        <pic:blipFill>
                          <a:blip r:embed="rId9" cstate="print"/>
                          <a:stretch>
                            <a:fillRect/>
                          </a:stretch>
                        </pic:blipFill>
                        <pic:spPr>
                          <a:xfrm>
                            <a:off x="0" y="0"/>
                            <a:ext cx="6034286" cy="4662857"/>
                          </a:xfrm>
                          <a:prstGeom prst="rect">
                            <a:avLst/>
                          </a:prstGeom>
                        </pic:spPr>
                      </pic:pic>
                    </a:graphicData>
                  </a:graphic>
                </wp:inline>
              </w:drawing>
            </w:r>
          </w:p>
        </w:tc>
      </w:tr>
      <w:tr w:rsidR="00216761" w:rsidRPr="002B18DF" w:rsidTr="00417804">
        <w:tc>
          <w:tcPr>
            <w:tcW w:w="9576" w:type="dxa"/>
          </w:tcPr>
          <w:p w:rsidR="00216761" w:rsidRPr="002B18DF" w:rsidRDefault="00216761" w:rsidP="00417804">
            <w:pPr>
              <w:spacing w:line="360" w:lineRule="auto"/>
              <w:rPr>
                <w:rFonts w:ascii="Arial" w:hAnsi="Arial" w:cs="Arial"/>
              </w:rPr>
            </w:pPr>
            <w:r w:rsidRPr="002B18DF">
              <w:rPr>
                <w:rFonts w:ascii="Arial" w:hAnsi="Arial" w:cs="Arial"/>
                <w:b/>
              </w:rPr>
              <w:t>Figure S</w:t>
            </w:r>
            <w:r w:rsidR="00414962" w:rsidRPr="002B18DF">
              <w:rPr>
                <w:rFonts w:ascii="Arial" w:hAnsi="Arial" w:cs="Arial"/>
                <w:b/>
              </w:rPr>
              <w:t>3</w:t>
            </w:r>
            <w:r w:rsidRPr="002B18DF">
              <w:rPr>
                <w:rFonts w:ascii="Arial" w:hAnsi="Arial" w:cs="Arial"/>
                <w:b/>
              </w:rPr>
              <w:t xml:space="preserve">: </w:t>
            </w:r>
            <w:r w:rsidRPr="002B18DF">
              <w:rPr>
                <w:rFonts w:ascii="Arial" w:hAnsi="Arial" w:cs="Arial"/>
              </w:rPr>
              <w:t>Manufacturing flow diagram for the TFV/LNG IVR.</w:t>
            </w:r>
          </w:p>
          <w:p w:rsidR="00216761" w:rsidRPr="002B18DF" w:rsidRDefault="00216761" w:rsidP="00417804">
            <w:pPr>
              <w:spacing w:line="360" w:lineRule="auto"/>
              <w:rPr>
                <w:rFonts w:ascii="Arial" w:hAnsi="Arial" w:cs="Arial"/>
              </w:rPr>
            </w:pPr>
          </w:p>
        </w:tc>
      </w:tr>
      <w:tr w:rsidR="00131E2B" w:rsidRPr="002B18DF" w:rsidTr="007047C6">
        <w:tc>
          <w:tcPr>
            <w:tcW w:w="9576" w:type="dxa"/>
          </w:tcPr>
          <w:p w:rsidR="00131E2B" w:rsidRPr="002B18DF" w:rsidRDefault="00131E2B" w:rsidP="007047C6">
            <w:pPr>
              <w:spacing w:line="360" w:lineRule="auto"/>
              <w:rPr>
                <w:rFonts w:ascii="Arial" w:hAnsi="Arial" w:cs="Arial"/>
                <w:b/>
              </w:rPr>
            </w:pPr>
            <w:r w:rsidRPr="002B18DF">
              <w:rPr>
                <w:rFonts w:ascii="Arial" w:hAnsi="Arial" w:cs="Arial"/>
                <w:b/>
                <w:noProof/>
              </w:rPr>
              <w:drawing>
                <wp:inline distT="0" distB="0" distL="0" distR="0">
                  <wp:extent cx="5488559" cy="2450592"/>
                  <wp:effectExtent l="19050" t="0" r="0" b="0"/>
                  <wp:docPr id="4" name="Picture 2" descr="Figure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b.png"/>
                          <pic:cNvPicPr/>
                        </pic:nvPicPr>
                        <pic:blipFill>
                          <a:blip r:embed="rId10" cstate="print"/>
                          <a:stretch>
                            <a:fillRect/>
                          </a:stretch>
                        </pic:blipFill>
                        <pic:spPr>
                          <a:xfrm>
                            <a:off x="0" y="0"/>
                            <a:ext cx="5485330" cy="2449150"/>
                          </a:xfrm>
                          <a:prstGeom prst="rect">
                            <a:avLst/>
                          </a:prstGeom>
                        </pic:spPr>
                      </pic:pic>
                    </a:graphicData>
                  </a:graphic>
                </wp:inline>
              </w:drawing>
            </w:r>
          </w:p>
        </w:tc>
      </w:tr>
      <w:tr w:rsidR="00131E2B" w:rsidRPr="002B18DF" w:rsidTr="007047C6">
        <w:tc>
          <w:tcPr>
            <w:tcW w:w="9576" w:type="dxa"/>
          </w:tcPr>
          <w:p w:rsidR="00131E2B" w:rsidRPr="002B18DF" w:rsidRDefault="00216761" w:rsidP="007047C6">
            <w:pPr>
              <w:spacing w:line="360" w:lineRule="auto"/>
              <w:rPr>
                <w:rFonts w:ascii="Arial" w:hAnsi="Arial" w:cs="Arial"/>
              </w:rPr>
            </w:pPr>
            <w:r w:rsidRPr="002B18DF">
              <w:rPr>
                <w:rFonts w:ascii="Arial" w:hAnsi="Arial" w:cs="Arial"/>
                <w:b/>
              </w:rPr>
              <w:t>Figure S</w:t>
            </w:r>
            <w:r w:rsidR="00414962" w:rsidRPr="002B18DF">
              <w:rPr>
                <w:rFonts w:ascii="Arial" w:hAnsi="Arial" w:cs="Arial"/>
                <w:b/>
              </w:rPr>
              <w:t>4</w:t>
            </w:r>
            <w:r w:rsidR="00131E2B" w:rsidRPr="002B18DF">
              <w:rPr>
                <w:rFonts w:ascii="Arial" w:hAnsi="Arial" w:cs="Arial"/>
                <w:b/>
              </w:rPr>
              <w:t xml:space="preserve">: </w:t>
            </w:r>
            <w:r w:rsidR="00131E2B" w:rsidRPr="002B18DF">
              <w:rPr>
                <w:rFonts w:ascii="Arial" w:hAnsi="Arial" w:cs="Arial"/>
              </w:rPr>
              <w:t>Process flow diagram for co-axial extrusion of LNG-loaded PEU strands.</w:t>
            </w:r>
          </w:p>
        </w:tc>
      </w:tr>
    </w:tbl>
    <w:p w:rsidR="00131E2B" w:rsidRPr="002B18DF" w:rsidRDefault="00131E2B" w:rsidP="00131E2B">
      <w:pPr>
        <w:spacing w:line="360" w:lineRule="auto"/>
        <w:rPr>
          <w:rFonts w:ascii="Arial" w:hAnsi="Arial" w:cs="Arial"/>
          <w:b/>
        </w:rPr>
      </w:pPr>
    </w:p>
    <w:p w:rsidR="00131E2B" w:rsidRPr="002B18DF" w:rsidRDefault="00131E2B" w:rsidP="00131E2B">
      <w:pPr>
        <w:spacing w:after="0" w:line="360" w:lineRule="auto"/>
        <w:rPr>
          <w:rFonts w:ascii="Arial" w:hAnsi="Arial" w:cs="Arial"/>
          <w:i/>
          <w:u w:val="single"/>
        </w:rPr>
      </w:pPr>
      <w:r w:rsidRPr="002B18DF">
        <w:rPr>
          <w:rFonts w:ascii="Arial" w:hAnsi="Arial" w:cs="Arial"/>
          <w:i/>
          <w:u w:val="single"/>
        </w:rPr>
        <w:lastRenderedPageBreak/>
        <w:t>Extraction of LNG from rabbit plasma samples and quantification by LC-MS/MS</w:t>
      </w:r>
    </w:p>
    <w:p w:rsidR="00131E2B" w:rsidRPr="002B18DF" w:rsidRDefault="00131E2B" w:rsidP="00131E2B">
      <w:pPr>
        <w:spacing w:after="0" w:line="360" w:lineRule="auto"/>
        <w:rPr>
          <w:rFonts w:ascii="Arial" w:hAnsi="Arial" w:cs="Arial"/>
        </w:rPr>
      </w:pPr>
      <w:r w:rsidRPr="002B18DF">
        <w:rPr>
          <w:rFonts w:ascii="Arial" w:hAnsi="Arial" w:cs="Arial"/>
        </w:rPr>
        <w:t>LNG was quantified in rabbit plasma samples by LC-MS/MS during the PK study described in the manuscript. Blood samples were first thawed to room temperature, vortexed briefly and centrifuged at 4000 rpm for 10 minutes at 5°C. 250 µL of each sample was added to a 96-well plate. Also to each well were added 400 µL H</w:t>
      </w:r>
      <w:r w:rsidRPr="002B18DF">
        <w:rPr>
          <w:rFonts w:ascii="Arial" w:hAnsi="Arial" w:cs="Arial"/>
          <w:vertAlign w:val="subscript"/>
        </w:rPr>
        <w:t>2</w:t>
      </w:r>
      <w:r w:rsidRPr="002B18DF">
        <w:rPr>
          <w:rFonts w:ascii="Arial" w:hAnsi="Arial" w:cs="Arial"/>
        </w:rPr>
        <w:t>O and 50 µL of an internal standard containing levonorgestrel-d6 (LNG-d6) (TLC PharmaChem, Inc., Vaughan, Ontario, Canada). In parallel, an Oasis HLB 96-well solid phase extraction (SPE) plate (Waters, Milford, Massachusetts) was conditioned by passing 800 µL MeOH followed by 800 H</w:t>
      </w:r>
      <w:r w:rsidRPr="002B18DF">
        <w:rPr>
          <w:rFonts w:ascii="Arial" w:hAnsi="Arial" w:cs="Arial"/>
          <w:vertAlign w:val="subscript"/>
        </w:rPr>
        <w:t>2</w:t>
      </w:r>
      <w:r w:rsidRPr="002B18DF">
        <w:rPr>
          <w:rFonts w:ascii="Arial" w:hAnsi="Arial" w:cs="Arial"/>
        </w:rPr>
        <w:t>O, another 800 µL MeOH and finally 800 µL dichloromethane (DCM) under minimal vacuum. Sample mixtures were then transferred to the conditioned SPE plate under minimal vacuum (as needed). 800 µL H</w:t>
      </w:r>
      <w:r w:rsidRPr="002B18DF">
        <w:rPr>
          <w:rFonts w:ascii="Arial" w:hAnsi="Arial" w:cs="Arial"/>
          <w:vertAlign w:val="subscript"/>
        </w:rPr>
        <w:t>2</w:t>
      </w:r>
      <w:r w:rsidRPr="002B18DF">
        <w:rPr>
          <w:rFonts w:ascii="Arial" w:hAnsi="Arial" w:cs="Arial"/>
        </w:rPr>
        <w:t>O, followed by 800 µL 40:60 MeOH/H</w:t>
      </w:r>
      <w:r w:rsidRPr="002B18DF">
        <w:rPr>
          <w:rFonts w:ascii="Arial" w:hAnsi="Arial" w:cs="Arial"/>
          <w:vertAlign w:val="subscript"/>
        </w:rPr>
        <w:t>2</w:t>
      </w:r>
      <w:r w:rsidRPr="002B18DF">
        <w:rPr>
          <w:rFonts w:ascii="Arial" w:hAnsi="Arial" w:cs="Arial"/>
        </w:rPr>
        <w:t>O under minimal vacuum was passed through the wells to waste, followed by 5 minutes under high vacuum to dry the SPE beds. 800 µL DCM then was passed through the SPE wells to a 96-well collection plate. High vacuum was again applied to the plate until the SPE beds were visually dry. The DCM eluent was then evaporated under N</w:t>
      </w:r>
      <w:r w:rsidRPr="002B18DF">
        <w:rPr>
          <w:rFonts w:ascii="Arial" w:hAnsi="Arial" w:cs="Arial"/>
          <w:vertAlign w:val="subscript"/>
        </w:rPr>
        <w:t>2</w:t>
      </w:r>
      <w:r w:rsidRPr="002B18DF">
        <w:rPr>
          <w:rFonts w:ascii="Arial" w:hAnsi="Arial" w:cs="Arial"/>
        </w:rPr>
        <w:t xml:space="preserve"> at 40°C, and reconstituted with 100 µL 50:50 MeOH/H</w:t>
      </w:r>
      <w:r w:rsidRPr="002B18DF">
        <w:rPr>
          <w:rFonts w:ascii="Arial" w:hAnsi="Arial" w:cs="Arial"/>
          <w:vertAlign w:val="subscript"/>
        </w:rPr>
        <w:t>2</w:t>
      </w:r>
      <w:r w:rsidRPr="002B18DF">
        <w:rPr>
          <w:rFonts w:ascii="Arial" w:hAnsi="Arial" w:cs="Arial"/>
        </w:rPr>
        <w:t xml:space="preserve">O. The entire plate was then vortexed for 1 minute, and samples were again centrifuged at 4000 rpm for 5 minutes at 5°C. </w:t>
      </w:r>
    </w:p>
    <w:p w:rsidR="00131E2B" w:rsidRPr="002B18DF" w:rsidRDefault="00131E2B" w:rsidP="00131E2B">
      <w:pPr>
        <w:spacing w:after="0" w:line="360" w:lineRule="auto"/>
        <w:rPr>
          <w:rFonts w:ascii="Arial" w:hAnsi="Arial" w:cs="Arial"/>
        </w:rPr>
      </w:pPr>
    </w:p>
    <w:p w:rsidR="00131E2B" w:rsidRPr="002B18DF" w:rsidRDefault="00131E2B" w:rsidP="00131E2B">
      <w:pPr>
        <w:spacing w:after="0" w:line="360" w:lineRule="auto"/>
        <w:rPr>
          <w:rFonts w:ascii="Arial" w:hAnsi="Arial" w:cs="Arial"/>
        </w:rPr>
      </w:pPr>
      <w:r w:rsidRPr="002B18DF">
        <w:rPr>
          <w:rFonts w:ascii="Arial" w:hAnsi="Arial" w:cs="Arial"/>
        </w:rPr>
        <w:t>LNG was then quantified in the reconstituted extractants using an 1100 Series HPLC (Agilent Technologies) and a API 5000 mass spectrometer (MS) (AB SCIEX, Framingham, Massachusetts). The HPLC was equipped with a chilled autosampler (set to 5°C), as well as two binary solvent pumps and a 6-port switching valve. Two Betasil C</w:t>
      </w:r>
      <w:r w:rsidRPr="002B18DF">
        <w:rPr>
          <w:rFonts w:ascii="Arial" w:hAnsi="Arial" w:cs="Arial"/>
          <w:vertAlign w:val="subscript"/>
        </w:rPr>
        <w:t>18</w:t>
      </w:r>
      <w:r w:rsidRPr="002B18DF">
        <w:rPr>
          <w:rFonts w:ascii="Arial" w:hAnsi="Arial" w:cs="Arial"/>
        </w:rPr>
        <w:t xml:space="preserve"> 100 x 2.1 mm, 5 µm columns (Thermo Scientific, West Palm Beach, Florida) were used, one as the loading column and one as the analytical column. Gradients of H</w:t>
      </w:r>
      <w:r w:rsidRPr="002B18DF">
        <w:rPr>
          <w:rFonts w:ascii="Arial" w:hAnsi="Arial" w:cs="Arial"/>
          <w:vertAlign w:val="subscript"/>
        </w:rPr>
        <w:t>2</w:t>
      </w:r>
      <w:r w:rsidRPr="002B18DF">
        <w:rPr>
          <w:rFonts w:ascii="Arial" w:hAnsi="Arial" w:cs="Arial"/>
        </w:rPr>
        <w:t>O and ACN (both with 0.1% formic acid) were run on both columns. Pump profiles are shown in Table S</w:t>
      </w:r>
      <w:r w:rsidR="00FE18E5">
        <w:rPr>
          <w:rFonts w:ascii="Arial" w:hAnsi="Arial" w:cs="Arial"/>
        </w:rPr>
        <w:t>4</w:t>
      </w:r>
      <w:r w:rsidRPr="002B18DF">
        <w:rPr>
          <w:rFonts w:ascii="Arial" w:hAnsi="Arial" w:cs="Arial"/>
        </w:rPr>
        <w:t xml:space="preserve"> and the column switching profile is shown in Table S</w:t>
      </w:r>
      <w:r w:rsidR="00FE18E5">
        <w:rPr>
          <w:rFonts w:ascii="Arial" w:hAnsi="Arial" w:cs="Arial"/>
        </w:rPr>
        <w:t>5</w:t>
      </w:r>
      <w:r w:rsidRPr="002B18DF">
        <w:rPr>
          <w:rFonts w:ascii="Arial" w:hAnsi="Arial" w:cs="Arial"/>
        </w:rPr>
        <w:t xml:space="preserve">. Positive daughter ions of LNG and LNG-d6 (245.2 and 251.2 m/z) were detected at approximately 4 minutes.  </w:t>
      </w:r>
    </w:p>
    <w:p w:rsidR="00131E2B" w:rsidRDefault="00131E2B" w:rsidP="00131E2B">
      <w:pPr>
        <w:spacing w:after="0" w:line="360" w:lineRule="auto"/>
        <w:rPr>
          <w:rFonts w:ascii="Arial" w:hAnsi="Arial" w:cs="Arial"/>
        </w:rPr>
      </w:pPr>
    </w:p>
    <w:p w:rsidR="00630540" w:rsidRDefault="00630540" w:rsidP="00131E2B">
      <w:pPr>
        <w:spacing w:after="0" w:line="360" w:lineRule="auto"/>
        <w:rPr>
          <w:rFonts w:ascii="Arial" w:hAnsi="Arial" w:cs="Arial"/>
        </w:rPr>
      </w:pPr>
    </w:p>
    <w:p w:rsidR="00630540" w:rsidRDefault="00630540" w:rsidP="00131E2B">
      <w:pPr>
        <w:spacing w:after="0" w:line="360" w:lineRule="auto"/>
        <w:rPr>
          <w:rFonts w:ascii="Arial" w:hAnsi="Arial" w:cs="Arial"/>
        </w:rPr>
      </w:pPr>
    </w:p>
    <w:p w:rsidR="00630540" w:rsidRDefault="00630540" w:rsidP="00131E2B">
      <w:pPr>
        <w:spacing w:after="0" w:line="360" w:lineRule="auto"/>
        <w:rPr>
          <w:rFonts w:ascii="Arial" w:hAnsi="Arial" w:cs="Arial"/>
        </w:rPr>
      </w:pPr>
    </w:p>
    <w:p w:rsidR="00630540" w:rsidRDefault="00630540" w:rsidP="00131E2B">
      <w:pPr>
        <w:spacing w:after="0" w:line="360" w:lineRule="auto"/>
        <w:rPr>
          <w:rFonts w:ascii="Arial" w:hAnsi="Arial" w:cs="Arial"/>
        </w:rPr>
      </w:pPr>
    </w:p>
    <w:p w:rsidR="00630540" w:rsidRDefault="00630540" w:rsidP="00131E2B">
      <w:pPr>
        <w:spacing w:after="0" w:line="360" w:lineRule="auto"/>
        <w:rPr>
          <w:rFonts w:ascii="Arial" w:hAnsi="Arial" w:cs="Arial"/>
        </w:rPr>
      </w:pPr>
    </w:p>
    <w:p w:rsidR="00630540" w:rsidRDefault="00630540" w:rsidP="00131E2B">
      <w:pPr>
        <w:spacing w:after="0" w:line="360" w:lineRule="auto"/>
        <w:rPr>
          <w:rFonts w:ascii="Arial" w:hAnsi="Arial" w:cs="Arial"/>
        </w:rPr>
      </w:pPr>
    </w:p>
    <w:p w:rsidR="00630540" w:rsidRPr="002B18DF" w:rsidRDefault="00630540" w:rsidP="00131E2B">
      <w:pPr>
        <w:spacing w:after="0" w:line="360" w:lineRule="auto"/>
        <w:rPr>
          <w:rFonts w:ascii="Arial" w:hAnsi="Arial" w:cs="Arial"/>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1260"/>
        <w:gridCol w:w="1170"/>
        <w:gridCol w:w="1170"/>
        <w:gridCol w:w="1260"/>
        <w:gridCol w:w="1260"/>
        <w:gridCol w:w="1170"/>
        <w:gridCol w:w="1098"/>
      </w:tblGrid>
      <w:tr w:rsidR="00131E2B" w:rsidRPr="002B18DF" w:rsidTr="007047C6">
        <w:tc>
          <w:tcPr>
            <w:tcW w:w="9576" w:type="dxa"/>
            <w:gridSpan w:val="8"/>
          </w:tcPr>
          <w:p w:rsidR="00131E2B" w:rsidRPr="002B18DF" w:rsidRDefault="00131E2B" w:rsidP="007047C6">
            <w:pPr>
              <w:spacing w:line="360" w:lineRule="auto"/>
              <w:rPr>
                <w:rFonts w:ascii="Arial" w:hAnsi="Arial" w:cs="Arial"/>
                <w:b/>
              </w:rPr>
            </w:pPr>
            <w:r w:rsidRPr="002B18DF">
              <w:rPr>
                <w:rFonts w:ascii="Arial" w:hAnsi="Arial" w:cs="Arial"/>
                <w:b/>
              </w:rPr>
              <w:lastRenderedPageBreak/>
              <w:t>Table S</w:t>
            </w:r>
            <w:r w:rsidR="00414962" w:rsidRPr="002B18DF">
              <w:rPr>
                <w:rFonts w:ascii="Arial" w:hAnsi="Arial" w:cs="Arial"/>
                <w:b/>
              </w:rPr>
              <w:t>4</w:t>
            </w:r>
            <w:r w:rsidRPr="002B18DF">
              <w:rPr>
                <w:rFonts w:ascii="Arial" w:hAnsi="Arial" w:cs="Arial"/>
                <w:b/>
              </w:rPr>
              <w:t xml:space="preserve">: </w:t>
            </w:r>
            <w:r w:rsidRPr="002B18DF">
              <w:rPr>
                <w:rFonts w:ascii="Arial" w:hAnsi="Arial" w:cs="Arial"/>
              </w:rPr>
              <w:t>HPLC</w:t>
            </w:r>
            <w:r w:rsidRPr="002B18DF">
              <w:rPr>
                <w:rFonts w:ascii="Arial" w:hAnsi="Arial" w:cs="Arial"/>
                <w:b/>
              </w:rPr>
              <w:t xml:space="preserve"> </w:t>
            </w:r>
            <w:r w:rsidRPr="002B18DF">
              <w:rPr>
                <w:rFonts w:ascii="Arial" w:hAnsi="Arial" w:cs="Arial"/>
              </w:rPr>
              <w:t>pump profiles for the plasma LC-MS/MS method. Line A: 0.1% formic acid in H</w:t>
            </w:r>
            <w:r w:rsidRPr="002B18DF">
              <w:rPr>
                <w:rFonts w:ascii="Arial" w:hAnsi="Arial" w:cs="Arial"/>
                <w:vertAlign w:val="subscript"/>
              </w:rPr>
              <w:t>2</w:t>
            </w:r>
            <w:r w:rsidRPr="002B18DF">
              <w:rPr>
                <w:rFonts w:ascii="Arial" w:hAnsi="Arial" w:cs="Arial"/>
              </w:rPr>
              <w:t>O, Line B: 0.1% formic acid in ACN.</w:t>
            </w:r>
          </w:p>
        </w:tc>
      </w:tr>
      <w:tr w:rsidR="00131E2B" w:rsidRPr="002B18DF" w:rsidTr="007047C6">
        <w:tc>
          <w:tcPr>
            <w:tcW w:w="4788" w:type="dxa"/>
            <w:gridSpan w:val="4"/>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Pump 1</w:t>
            </w:r>
          </w:p>
        </w:tc>
        <w:tc>
          <w:tcPr>
            <w:tcW w:w="4788" w:type="dxa"/>
            <w:gridSpan w:val="4"/>
            <w:shd w:val="pct20" w:color="auto" w:fill="auto"/>
          </w:tcPr>
          <w:p w:rsidR="00131E2B" w:rsidRPr="002B18DF" w:rsidRDefault="00131E2B" w:rsidP="007047C6">
            <w:pPr>
              <w:spacing w:line="360" w:lineRule="auto"/>
              <w:jc w:val="center"/>
              <w:rPr>
                <w:rFonts w:ascii="Arial" w:hAnsi="Arial" w:cs="Arial"/>
                <w:b/>
              </w:rPr>
            </w:pPr>
            <w:r w:rsidRPr="002B18DF">
              <w:rPr>
                <w:rFonts w:ascii="Arial" w:hAnsi="Arial" w:cs="Arial"/>
              </w:rPr>
              <w:t>Pump 2</w:t>
            </w:r>
          </w:p>
        </w:tc>
      </w:tr>
      <w:tr w:rsidR="00131E2B" w:rsidRPr="002B18DF" w:rsidTr="007047C6">
        <w:tc>
          <w:tcPr>
            <w:tcW w:w="1188" w:type="dxa"/>
          </w:tcPr>
          <w:p w:rsidR="00131E2B" w:rsidRPr="002B18DF" w:rsidRDefault="00131E2B" w:rsidP="007047C6">
            <w:pPr>
              <w:spacing w:line="360" w:lineRule="auto"/>
              <w:jc w:val="center"/>
              <w:rPr>
                <w:rFonts w:ascii="Arial" w:hAnsi="Arial" w:cs="Arial"/>
              </w:rPr>
            </w:pPr>
            <w:r w:rsidRPr="002B18DF">
              <w:rPr>
                <w:rFonts w:ascii="Arial" w:hAnsi="Arial" w:cs="Arial"/>
              </w:rPr>
              <w:t>Time (min)</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Flow Rate (mL/min)</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 Line A</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 Line B</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Time (min)</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Flow Rate (mL/min)</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 Line A</w:t>
            </w:r>
          </w:p>
        </w:tc>
        <w:tc>
          <w:tcPr>
            <w:tcW w:w="1098" w:type="dxa"/>
          </w:tcPr>
          <w:p w:rsidR="00131E2B" w:rsidRPr="002B18DF" w:rsidRDefault="00131E2B" w:rsidP="007047C6">
            <w:pPr>
              <w:spacing w:line="360" w:lineRule="auto"/>
              <w:jc w:val="center"/>
              <w:rPr>
                <w:rFonts w:ascii="Arial" w:hAnsi="Arial" w:cs="Arial"/>
              </w:rPr>
            </w:pPr>
            <w:r w:rsidRPr="002B18DF">
              <w:rPr>
                <w:rFonts w:ascii="Arial" w:hAnsi="Arial" w:cs="Arial"/>
              </w:rPr>
              <w:t>% Line B</w:t>
            </w:r>
          </w:p>
        </w:tc>
      </w:tr>
      <w:tr w:rsidR="00131E2B" w:rsidRPr="002B18DF" w:rsidTr="007047C6">
        <w:tc>
          <w:tcPr>
            <w:tcW w:w="118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0.3</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65</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0.0</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09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65</w:t>
            </w:r>
          </w:p>
        </w:tc>
      </w:tr>
      <w:tr w:rsidR="00131E2B" w:rsidRPr="002B18DF" w:rsidTr="007047C6">
        <w:tc>
          <w:tcPr>
            <w:tcW w:w="1188" w:type="dxa"/>
          </w:tcPr>
          <w:p w:rsidR="00131E2B" w:rsidRPr="002B18DF" w:rsidRDefault="00131E2B" w:rsidP="007047C6">
            <w:pPr>
              <w:spacing w:line="360" w:lineRule="auto"/>
              <w:jc w:val="center"/>
              <w:rPr>
                <w:rFonts w:ascii="Arial" w:hAnsi="Arial" w:cs="Arial"/>
              </w:rPr>
            </w:pPr>
            <w:r w:rsidRPr="002B18DF">
              <w:rPr>
                <w:rFonts w:ascii="Arial" w:hAnsi="Arial" w:cs="Arial"/>
              </w:rPr>
              <w:t>2.5</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0.3</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65</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1.0</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098" w:type="dxa"/>
          </w:tcPr>
          <w:p w:rsidR="00131E2B" w:rsidRPr="002B18DF" w:rsidRDefault="00131E2B" w:rsidP="007047C6">
            <w:pPr>
              <w:spacing w:line="360" w:lineRule="auto"/>
              <w:jc w:val="center"/>
              <w:rPr>
                <w:rFonts w:ascii="Arial" w:hAnsi="Arial" w:cs="Arial"/>
              </w:rPr>
            </w:pPr>
            <w:r w:rsidRPr="002B18DF">
              <w:rPr>
                <w:rFonts w:ascii="Arial" w:hAnsi="Arial" w:cs="Arial"/>
              </w:rPr>
              <w:t>65</w:t>
            </w:r>
          </w:p>
        </w:tc>
      </w:tr>
      <w:tr w:rsidR="00131E2B" w:rsidRPr="002B18DF" w:rsidTr="007047C6">
        <w:tc>
          <w:tcPr>
            <w:tcW w:w="118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2.6</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100</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1.1</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0.3</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09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65</w:t>
            </w:r>
          </w:p>
        </w:tc>
      </w:tr>
      <w:tr w:rsidR="00131E2B" w:rsidRPr="002B18DF" w:rsidTr="007047C6">
        <w:tc>
          <w:tcPr>
            <w:tcW w:w="1188" w:type="dxa"/>
          </w:tcPr>
          <w:p w:rsidR="00131E2B" w:rsidRPr="002B18DF" w:rsidRDefault="00131E2B" w:rsidP="007047C6">
            <w:pPr>
              <w:spacing w:line="360" w:lineRule="auto"/>
              <w:jc w:val="center"/>
              <w:rPr>
                <w:rFonts w:ascii="Arial" w:hAnsi="Arial" w:cs="Arial"/>
              </w:rPr>
            </w:pPr>
            <w:r w:rsidRPr="002B18DF">
              <w:rPr>
                <w:rFonts w:ascii="Arial" w:hAnsi="Arial" w:cs="Arial"/>
              </w:rPr>
              <w:t>4.6</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0</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100</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5.4</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0.3</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098" w:type="dxa"/>
          </w:tcPr>
          <w:p w:rsidR="00131E2B" w:rsidRPr="002B18DF" w:rsidRDefault="00131E2B" w:rsidP="007047C6">
            <w:pPr>
              <w:spacing w:line="360" w:lineRule="auto"/>
              <w:jc w:val="center"/>
              <w:rPr>
                <w:rFonts w:ascii="Arial" w:hAnsi="Arial" w:cs="Arial"/>
              </w:rPr>
            </w:pPr>
            <w:r w:rsidRPr="002B18DF">
              <w:rPr>
                <w:rFonts w:ascii="Arial" w:hAnsi="Arial" w:cs="Arial"/>
              </w:rPr>
              <w:t>65</w:t>
            </w:r>
          </w:p>
        </w:tc>
      </w:tr>
      <w:tr w:rsidR="00131E2B" w:rsidRPr="002B18DF" w:rsidTr="007047C6">
        <w:tc>
          <w:tcPr>
            <w:tcW w:w="118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4.7</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65</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5.5</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w:t>
            </w:r>
          </w:p>
        </w:tc>
        <w:tc>
          <w:tcPr>
            <w:tcW w:w="109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100</w:t>
            </w:r>
          </w:p>
        </w:tc>
      </w:tr>
      <w:tr w:rsidR="00131E2B" w:rsidRPr="002B18DF" w:rsidTr="007047C6">
        <w:tc>
          <w:tcPr>
            <w:tcW w:w="1188" w:type="dxa"/>
          </w:tcPr>
          <w:p w:rsidR="00131E2B" w:rsidRPr="002B18DF" w:rsidRDefault="00131E2B" w:rsidP="007047C6">
            <w:pPr>
              <w:spacing w:line="360" w:lineRule="auto"/>
              <w:jc w:val="center"/>
              <w:rPr>
                <w:rFonts w:ascii="Arial" w:hAnsi="Arial" w:cs="Arial"/>
              </w:rPr>
            </w:pPr>
            <w:r w:rsidRPr="002B18DF">
              <w:rPr>
                <w:rFonts w:ascii="Arial" w:hAnsi="Arial" w:cs="Arial"/>
              </w:rPr>
              <w:t>10.0</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65</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6.5</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0</w:t>
            </w:r>
          </w:p>
        </w:tc>
        <w:tc>
          <w:tcPr>
            <w:tcW w:w="1098" w:type="dxa"/>
          </w:tcPr>
          <w:p w:rsidR="00131E2B" w:rsidRPr="002B18DF" w:rsidRDefault="00131E2B" w:rsidP="007047C6">
            <w:pPr>
              <w:spacing w:line="360" w:lineRule="auto"/>
              <w:jc w:val="center"/>
              <w:rPr>
                <w:rFonts w:ascii="Arial" w:hAnsi="Arial" w:cs="Arial"/>
              </w:rPr>
            </w:pPr>
            <w:r w:rsidRPr="002B18DF">
              <w:rPr>
                <w:rFonts w:ascii="Arial" w:hAnsi="Arial" w:cs="Arial"/>
              </w:rPr>
              <w:t>100</w:t>
            </w:r>
          </w:p>
        </w:tc>
      </w:tr>
      <w:tr w:rsidR="00131E2B" w:rsidRPr="002B18DF" w:rsidTr="007047C6">
        <w:tc>
          <w:tcPr>
            <w:tcW w:w="4788" w:type="dxa"/>
            <w:gridSpan w:val="4"/>
          </w:tcPr>
          <w:p w:rsidR="00131E2B" w:rsidRPr="002B18DF" w:rsidRDefault="00131E2B" w:rsidP="007047C6">
            <w:pPr>
              <w:spacing w:line="360" w:lineRule="auto"/>
              <w:jc w:val="center"/>
              <w:rPr>
                <w:rFonts w:ascii="Arial" w:hAnsi="Arial" w:cs="Arial"/>
              </w:rPr>
            </w:pP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6.6</w:t>
            </w:r>
          </w:p>
        </w:tc>
        <w:tc>
          <w:tcPr>
            <w:tcW w:w="126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09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65</w:t>
            </w:r>
          </w:p>
        </w:tc>
      </w:tr>
      <w:tr w:rsidR="00131E2B" w:rsidRPr="002B18DF" w:rsidTr="007047C6">
        <w:tc>
          <w:tcPr>
            <w:tcW w:w="4788" w:type="dxa"/>
            <w:gridSpan w:val="4"/>
          </w:tcPr>
          <w:p w:rsidR="00131E2B" w:rsidRPr="002B18DF" w:rsidRDefault="00131E2B" w:rsidP="007047C6">
            <w:pPr>
              <w:spacing w:line="360" w:lineRule="auto"/>
              <w:jc w:val="center"/>
              <w:rPr>
                <w:rFonts w:ascii="Arial" w:hAnsi="Arial" w:cs="Arial"/>
              </w:rPr>
            </w:pP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10.0</w:t>
            </w:r>
          </w:p>
        </w:tc>
        <w:tc>
          <w:tcPr>
            <w:tcW w:w="1260" w:type="dxa"/>
          </w:tcPr>
          <w:p w:rsidR="00131E2B" w:rsidRPr="002B18DF" w:rsidRDefault="00131E2B" w:rsidP="007047C6">
            <w:pPr>
              <w:spacing w:line="360" w:lineRule="auto"/>
              <w:jc w:val="center"/>
              <w:rPr>
                <w:rFonts w:ascii="Arial" w:hAnsi="Arial" w:cs="Arial"/>
              </w:rPr>
            </w:pPr>
            <w:r w:rsidRPr="002B18DF">
              <w:rPr>
                <w:rFonts w:ascii="Arial" w:hAnsi="Arial" w:cs="Arial"/>
              </w:rPr>
              <w:t>0.6</w:t>
            </w:r>
          </w:p>
        </w:tc>
        <w:tc>
          <w:tcPr>
            <w:tcW w:w="1170" w:type="dxa"/>
          </w:tcPr>
          <w:p w:rsidR="00131E2B" w:rsidRPr="002B18DF" w:rsidRDefault="00131E2B" w:rsidP="007047C6">
            <w:pPr>
              <w:spacing w:line="360" w:lineRule="auto"/>
              <w:jc w:val="center"/>
              <w:rPr>
                <w:rFonts w:ascii="Arial" w:hAnsi="Arial" w:cs="Arial"/>
              </w:rPr>
            </w:pPr>
            <w:r w:rsidRPr="002B18DF">
              <w:rPr>
                <w:rFonts w:ascii="Arial" w:hAnsi="Arial" w:cs="Arial"/>
              </w:rPr>
              <w:t>35</w:t>
            </w:r>
          </w:p>
        </w:tc>
        <w:tc>
          <w:tcPr>
            <w:tcW w:w="1098" w:type="dxa"/>
          </w:tcPr>
          <w:p w:rsidR="00131E2B" w:rsidRPr="002B18DF" w:rsidRDefault="00131E2B" w:rsidP="007047C6">
            <w:pPr>
              <w:spacing w:line="360" w:lineRule="auto"/>
              <w:jc w:val="center"/>
              <w:rPr>
                <w:rFonts w:ascii="Arial" w:hAnsi="Arial" w:cs="Arial"/>
              </w:rPr>
            </w:pPr>
            <w:r w:rsidRPr="002B18DF">
              <w:rPr>
                <w:rFonts w:ascii="Arial" w:hAnsi="Arial" w:cs="Arial"/>
              </w:rPr>
              <w:t>65</w:t>
            </w:r>
          </w:p>
        </w:tc>
      </w:tr>
    </w:tbl>
    <w:p w:rsidR="00131E2B" w:rsidRPr="002B18DF" w:rsidRDefault="00131E2B" w:rsidP="00131E2B">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6366"/>
      </w:tblGrid>
      <w:tr w:rsidR="00131E2B" w:rsidRPr="002B18DF" w:rsidTr="007047C6">
        <w:tc>
          <w:tcPr>
            <w:tcW w:w="9558" w:type="dxa"/>
            <w:gridSpan w:val="2"/>
          </w:tcPr>
          <w:p w:rsidR="00B9729B" w:rsidRPr="002B18DF" w:rsidRDefault="00B9729B" w:rsidP="007047C6">
            <w:pPr>
              <w:spacing w:line="360" w:lineRule="auto"/>
              <w:rPr>
                <w:rFonts w:ascii="Arial" w:hAnsi="Arial" w:cs="Arial"/>
                <w:b/>
              </w:rPr>
            </w:pPr>
          </w:p>
          <w:p w:rsidR="00131E2B" w:rsidRPr="002B18DF" w:rsidRDefault="00131E2B" w:rsidP="007047C6">
            <w:pPr>
              <w:spacing w:line="360" w:lineRule="auto"/>
              <w:rPr>
                <w:rFonts w:ascii="Arial" w:hAnsi="Arial" w:cs="Arial"/>
              </w:rPr>
            </w:pPr>
            <w:r w:rsidRPr="002B18DF">
              <w:rPr>
                <w:rFonts w:ascii="Arial" w:hAnsi="Arial" w:cs="Arial"/>
                <w:b/>
              </w:rPr>
              <w:t>Table S</w:t>
            </w:r>
            <w:r w:rsidR="00414962" w:rsidRPr="002B18DF">
              <w:rPr>
                <w:rFonts w:ascii="Arial" w:hAnsi="Arial" w:cs="Arial"/>
                <w:b/>
              </w:rPr>
              <w:t>5</w:t>
            </w:r>
            <w:r w:rsidRPr="002B18DF">
              <w:rPr>
                <w:rFonts w:ascii="Arial" w:hAnsi="Arial" w:cs="Arial"/>
                <w:b/>
              </w:rPr>
              <w:t xml:space="preserve">: </w:t>
            </w:r>
            <w:r w:rsidRPr="002B18DF">
              <w:rPr>
                <w:rFonts w:ascii="Arial" w:hAnsi="Arial" w:cs="Arial"/>
              </w:rPr>
              <w:t xml:space="preserve">HPLC switching profile for the plasma analysis method. Position A: Pump 1 - autosampler - Column 1 - waste; Pump 2 - Column 2 - MS, Position B: Pump 2 - Column 1 - Column 2 - MS; Pump 1 - autosampler - waste. </w:t>
            </w:r>
          </w:p>
        </w:tc>
      </w:tr>
      <w:tr w:rsidR="00131E2B" w:rsidRPr="002B18DF" w:rsidTr="007047C6">
        <w:trPr>
          <w:trHeight w:val="49"/>
        </w:trPr>
        <w:tc>
          <w:tcPr>
            <w:tcW w:w="3192"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Time (min)</w:t>
            </w:r>
          </w:p>
        </w:tc>
        <w:tc>
          <w:tcPr>
            <w:tcW w:w="6366"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Position</w:t>
            </w:r>
          </w:p>
        </w:tc>
      </w:tr>
      <w:tr w:rsidR="00131E2B" w:rsidRPr="002B18DF" w:rsidTr="007047C6">
        <w:trPr>
          <w:trHeight w:val="49"/>
        </w:trPr>
        <w:tc>
          <w:tcPr>
            <w:tcW w:w="3192" w:type="dxa"/>
          </w:tcPr>
          <w:p w:rsidR="00131E2B" w:rsidRPr="002B18DF" w:rsidRDefault="00131E2B" w:rsidP="007047C6">
            <w:pPr>
              <w:spacing w:line="360" w:lineRule="auto"/>
              <w:jc w:val="center"/>
              <w:rPr>
                <w:rFonts w:ascii="Arial" w:hAnsi="Arial" w:cs="Arial"/>
              </w:rPr>
            </w:pPr>
            <w:r w:rsidRPr="002B18DF">
              <w:rPr>
                <w:rFonts w:ascii="Arial" w:hAnsi="Arial" w:cs="Arial"/>
              </w:rPr>
              <w:t>0.0</w:t>
            </w:r>
          </w:p>
        </w:tc>
        <w:tc>
          <w:tcPr>
            <w:tcW w:w="6366" w:type="dxa"/>
          </w:tcPr>
          <w:p w:rsidR="00131E2B" w:rsidRPr="002B18DF" w:rsidRDefault="00131E2B" w:rsidP="007047C6">
            <w:pPr>
              <w:spacing w:line="360" w:lineRule="auto"/>
              <w:jc w:val="center"/>
              <w:rPr>
                <w:rFonts w:ascii="Arial" w:hAnsi="Arial" w:cs="Arial"/>
              </w:rPr>
            </w:pPr>
            <w:r w:rsidRPr="002B18DF">
              <w:rPr>
                <w:rFonts w:ascii="Arial" w:hAnsi="Arial" w:cs="Arial"/>
              </w:rPr>
              <w:t>A</w:t>
            </w:r>
          </w:p>
        </w:tc>
      </w:tr>
      <w:tr w:rsidR="00131E2B" w:rsidRPr="002B18DF" w:rsidTr="007047C6">
        <w:trPr>
          <w:trHeight w:val="49"/>
        </w:trPr>
        <w:tc>
          <w:tcPr>
            <w:tcW w:w="3192"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1.4</w:t>
            </w:r>
          </w:p>
        </w:tc>
        <w:tc>
          <w:tcPr>
            <w:tcW w:w="6366"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B</w:t>
            </w:r>
          </w:p>
        </w:tc>
      </w:tr>
      <w:tr w:rsidR="00131E2B" w:rsidRPr="002B18DF" w:rsidTr="007047C6">
        <w:trPr>
          <w:trHeight w:val="49"/>
        </w:trPr>
        <w:tc>
          <w:tcPr>
            <w:tcW w:w="3192" w:type="dxa"/>
          </w:tcPr>
          <w:p w:rsidR="00131E2B" w:rsidRPr="002B18DF" w:rsidRDefault="00131E2B" w:rsidP="007047C6">
            <w:pPr>
              <w:spacing w:line="360" w:lineRule="auto"/>
              <w:jc w:val="center"/>
              <w:rPr>
                <w:rFonts w:ascii="Arial" w:hAnsi="Arial" w:cs="Arial"/>
              </w:rPr>
            </w:pPr>
            <w:r w:rsidRPr="002B18DF">
              <w:rPr>
                <w:rFonts w:ascii="Arial" w:hAnsi="Arial" w:cs="Arial"/>
              </w:rPr>
              <w:t>2.4</w:t>
            </w:r>
          </w:p>
        </w:tc>
        <w:tc>
          <w:tcPr>
            <w:tcW w:w="6366" w:type="dxa"/>
          </w:tcPr>
          <w:p w:rsidR="00131E2B" w:rsidRPr="002B18DF" w:rsidRDefault="00131E2B" w:rsidP="007047C6">
            <w:pPr>
              <w:spacing w:line="360" w:lineRule="auto"/>
              <w:jc w:val="center"/>
              <w:rPr>
                <w:rFonts w:ascii="Arial" w:hAnsi="Arial" w:cs="Arial"/>
              </w:rPr>
            </w:pPr>
            <w:r w:rsidRPr="002B18DF">
              <w:rPr>
                <w:rFonts w:ascii="Arial" w:hAnsi="Arial" w:cs="Arial"/>
              </w:rPr>
              <w:t>A</w:t>
            </w:r>
          </w:p>
        </w:tc>
      </w:tr>
    </w:tbl>
    <w:p w:rsidR="00131E2B" w:rsidRPr="002B18DF" w:rsidRDefault="00131E2B" w:rsidP="00131E2B">
      <w:pPr>
        <w:spacing w:after="0" w:line="360" w:lineRule="auto"/>
        <w:rPr>
          <w:rFonts w:ascii="Arial" w:hAnsi="Arial" w:cs="Arial"/>
        </w:rPr>
      </w:pPr>
    </w:p>
    <w:p w:rsidR="00131E2B" w:rsidRPr="002B18DF" w:rsidRDefault="00131E2B" w:rsidP="00131E2B">
      <w:pPr>
        <w:spacing w:after="0" w:line="360" w:lineRule="auto"/>
        <w:rPr>
          <w:rFonts w:ascii="Arial" w:hAnsi="Arial" w:cs="Arial"/>
          <w:i/>
          <w:u w:val="single"/>
        </w:rPr>
      </w:pPr>
      <w:r w:rsidRPr="002B18DF">
        <w:rPr>
          <w:rFonts w:ascii="Arial" w:hAnsi="Arial" w:cs="Arial"/>
          <w:i/>
          <w:u w:val="single"/>
        </w:rPr>
        <w:t>Extraction of LNG from rabbit cervical tissue samples and quantification by LC-MS/MS</w:t>
      </w:r>
    </w:p>
    <w:p w:rsidR="00131E2B" w:rsidRPr="002B18DF" w:rsidRDefault="00131E2B" w:rsidP="00131E2B">
      <w:pPr>
        <w:tabs>
          <w:tab w:val="left" w:pos="3150"/>
        </w:tabs>
        <w:spacing w:after="0" w:line="360" w:lineRule="auto"/>
        <w:rPr>
          <w:rFonts w:ascii="Arial" w:hAnsi="Arial" w:cs="Arial"/>
        </w:rPr>
      </w:pPr>
      <w:r w:rsidRPr="002B18DF">
        <w:rPr>
          <w:rFonts w:ascii="Arial" w:hAnsi="Arial" w:cs="Arial"/>
        </w:rPr>
        <w:t>Rabbit cervical tissue samples were ground with dry ice in a small blade homogenizer to make a finely ground sample. Samples were then stored overnight at -20°C to allow the dry ice to sublime. The ground tissues were then diluted with 80:20 MeOH/H</w:t>
      </w:r>
      <w:r w:rsidRPr="002B18DF">
        <w:rPr>
          <w:rFonts w:ascii="Arial" w:hAnsi="Arial" w:cs="Arial"/>
          <w:vertAlign w:val="subscript"/>
        </w:rPr>
        <w:t>2</w:t>
      </w:r>
      <w:r w:rsidRPr="002B18DF">
        <w:rPr>
          <w:rFonts w:ascii="Arial" w:hAnsi="Arial" w:cs="Arial"/>
        </w:rPr>
        <w:t xml:space="preserve">O at 100 mg tissue/mL and sonicated for 5 minutes in an ice water bath. Samples were stored at -80°C until analysis could be performed. Samples were again thawed, vortexed and centrifuged at 4500 rpm and 4°C for 10 minutes. The supernatants were transferred to fresh containers prior to aliquoting into 96-well filter plates. To each well, 600 µL ACN, 50 µL of LNG-d6 internal standard and 250 µL of sample were added. Plates were allowed to stand for approximately 5 minutes before applying vacuum and collecting in a 96-well collection plate. The extractants were evaporated and </w:t>
      </w:r>
      <w:r w:rsidRPr="002B18DF">
        <w:rPr>
          <w:rFonts w:ascii="Arial" w:hAnsi="Arial" w:cs="Arial"/>
        </w:rPr>
        <w:lastRenderedPageBreak/>
        <w:t xml:space="preserve">reconstituted, vortexed and centrifuged as described for plasma extractants above prior to analyzing by LC-MS/MS. </w:t>
      </w:r>
    </w:p>
    <w:p w:rsidR="00131E2B" w:rsidRPr="002B18DF" w:rsidRDefault="00131E2B" w:rsidP="00131E2B">
      <w:pPr>
        <w:tabs>
          <w:tab w:val="left" w:pos="3150"/>
        </w:tabs>
        <w:spacing w:after="0" w:line="360" w:lineRule="auto"/>
        <w:rPr>
          <w:rFonts w:ascii="Arial" w:hAnsi="Arial" w:cs="Arial"/>
        </w:rPr>
      </w:pPr>
    </w:p>
    <w:p w:rsidR="00131E2B" w:rsidRPr="002B18DF" w:rsidRDefault="00131E2B" w:rsidP="00131E2B">
      <w:pPr>
        <w:tabs>
          <w:tab w:val="left" w:pos="3150"/>
        </w:tabs>
        <w:spacing w:after="0" w:line="360" w:lineRule="auto"/>
        <w:rPr>
          <w:rFonts w:ascii="Arial" w:hAnsi="Arial" w:cs="Arial"/>
        </w:rPr>
      </w:pPr>
      <w:r w:rsidRPr="002B18DF">
        <w:rPr>
          <w:rFonts w:ascii="Arial" w:hAnsi="Arial" w:cs="Arial"/>
        </w:rPr>
        <w:t>For analysis of tissue extractants, the same LC-MS/MS instrument as above was used except a single-pump, single-column set-up was employed. A 7-minute gradient of 0.1% formic acid in H</w:t>
      </w:r>
      <w:r w:rsidRPr="002B18DF">
        <w:rPr>
          <w:rFonts w:ascii="Arial" w:hAnsi="Arial" w:cs="Arial"/>
          <w:vertAlign w:val="subscript"/>
        </w:rPr>
        <w:t>2</w:t>
      </w:r>
      <w:r w:rsidRPr="002B18DF">
        <w:rPr>
          <w:rFonts w:ascii="Arial" w:hAnsi="Arial" w:cs="Arial"/>
        </w:rPr>
        <w:t>O and 0.1% formic acid in ACN was run through a Betasil C</w:t>
      </w:r>
      <w:r w:rsidRPr="002B18DF">
        <w:rPr>
          <w:rFonts w:ascii="Arial" w:hAnsi="Arial" w:cs="Arial"/>
          <w:vertAlign w:val="subscript"/>
        </w:rPr>
        <w:t>18</w:t>
      </w:r>
      <w:r w:rsidRPr="002B18DF">
        <w:rPr>
          <w:rFonts w:ascii="Arial" w:hAnsi="Arial" w:cs="Arial"/>
        </w:rPr>
        <w:t xml:space="preserve"> 100 x 2.1 mm, 5 µm column. The pump profile is described in Table S</w:t>
      </w:r>
      <w:r w:rsidR="00FE18E5">
        <w:rPr>
          <w:rFonts w:ascii="Arial" w:hAnsi="Arial" w:cs="Arial"/>
        </w:rPr>
        <w:t>6</w:t>
      </w:r>
      <w:r w:rsidRPr="002B18DF">
        <w:rPr>
          <w:rFonts w:ascii="Arial" w:hAnsi="Arial" w:cs="Arial"/>
        </w:rPr>
        <w:t>. The same positive daughter ions as above, (245.2 and 251.2) were detected for LNG and LNG-d6 at approximately 2.2 minutes.</w:t>
      </w:r>
    </w:p>
    <w:p w:rsidR="00131E2B" w:rsidRPr="002B18DF" w:rsidRDefault="00131E2B" w:rsidP="00131E2B">
      <w:pPr>
        <w:tabs>
          <w:tab w:val="left" w:pos="3150"/>
        </w:tabs>
        <w:spacing w:after="0" w:line="360" w:lineRule="auto"/>
        <w:rPr>
          <w:rFonts w:ascii="Arial" w:hAnsi="Arial" w:cs="Arial"/>
        </w:rPr>
      </w:pPr>
    </w:p>
    <w:tbl>
      <w:tblPr>
        <w:tblStyle w:val="TableGrid"/>
        <w:tblW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070"/>
        <w:gridCol w:w="2250"/>
      </w:tblGrid>
      <w:tr w:rsidR="00131E2B" w:rsidRPr="002B18DF" w:rsidTr="007047C6">
        <w:tc>
          <w:tcPr>
            <w:tcW w:w="5868" w:type="dxa"/>
            <w:gridSpan w:val="3"/>
          </w:tcPr>
          <w:p w:rsidR="00131E2B" w:rsidRPr="002B18DF" w:rsidRDefault="00131E2B" w:rsidP="007047C6">
            <w:pPr>
              <w:spacing w:line="360" w:lineRule="auto"/>
              <w:rPr>
                <w:rFonts w:ascii="Arial" w:hAnsi="Arial" w:cs="Arial"/>
                <w:b/>
              </w:rPr>
            </w:pPr>
            <w:r w:rsidRPr="002B18DF">
              <w:rPr>
                <w:rFonts w:ascii="Arial" w:hAnsi="Arial" w:cs="Arial"/>
                <w:b/>
              </w:rPr>
              <w:t>Table S</w:t>
            </w:r>
            <w:r w:rsidR="00414962" w:rsidRPr="002B18DF">
              <w:rPr>
                <w:rFonts w:ascii="Arial" w:hAnsi="Arial" w:cs="Arial"/>
                <w:b/>
              </w:rPr>
              <w:t>6</w:t>
            </w:r>
            <w:r w:rsidRPr="002B18DF">
              <w:rPr>
                <w:rFonts w:ascii="Arial" w:hAnsi="Arial" w:cs="Arial"/>
                <w:b/>
              </w:rPr>
              <w:t xml:space="preserve">: </w:t>
            </w:r>
            <w:r w:rsidRPr="002B18DF">
              <w:rPr>
                <w:rFonts w:ascii="Arial" w:hAnsi="Arial" w:cs="Arial"/>
              </w:rPr>
              <w:t>HPLC</w:t>
            </w:r>
            <w:r w:rsidRPr="002B18DF">
              <w:rPr>
                <w:rFonts w:ascii="Arial" w:hAnsi="Arial" w:cs="Arial"/>
                <w:b/>
              </w:rPr>
              <w:t xml:space="preserve"> </w:t>
            </w:r>
            <w:r w:rsidRPr="002B18DF">
              <w:rPr>
                <w:rFonts w:ascii="Arial" w:hAnsi="Arial" w:cs="Arial"/>
              </w:rPr>
              <w:t>gradient profile for LNG detection in  cervical tissue using LC-MS/MS. Line A: 0.1% formic acid in H</w:t>
            </w:r>
            <w:r w:rsidRPr="002B18DF">
              <w:rPr>
                <w:rFonts w:ascii="Arial" w:hAnsi="Arial" w:cs="Arial"/>
                <w:vertAlign w:val="subscript"/>
              </w:rPr>
              <w:t>2</w:t>
            </w:r>
            <w:r w:rsidRPr="002B18DF">
              <w:rPr>
                <w:rFonts w:ascii="Arial" w:hAnsi="Arial" w:cs="Arial"/>
              </w:rPr>
              <w:t>O, Line B: 0.1% formic acid in ACN. A flow rate of 0.3 mL/min was applied throughout the method.</w:t>
            </w:r>
          </w:p>
        </w:tc>
      </w:tr>
      <w:tr w:rsidR="00131E2B" w:rsidRPr="002B18DF" w:rsidTr="007047C6">
        <w:tc>
          <w:tcPr>
            <w:tcW w:w="154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Time (min)</w:t>
            </w:r>
          </w:p>
        </w:tc>
        <w:tc>
          <w:tcPr>
            <w:tcW w:w="20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 Line A</w:t>
            </w:r>
          </w:p>
        </w:tc>
        <w:tc>
          <w:tcPr>
            <w:tcW w:w="225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 Line B</w:t>
            </w:r>
          </w:p>
        </w:tc>
      </w:tr>
      <w:tr w:rsidR="00131E2B" w:rsidRPr="002B18DF" w:rsidTr="007047C6">
        <w:tc>
          <w:tcPr>
            <w:tcW w:w="1548" w:type="dxa"/>
          </w:tcPr>
          <w:p w:rsidR="00131E2B" w:rsidRPr="002B18DF" w:rsidRDefault="00131E2B" w:rsidP="007047C6">
            <w:pPr>
              <w:spacing w:line="360" w:lineRule="auto"/>
              <w:jc w:val="center"/>
              <w:rPr>
                <w:rFonts w:ascii="Arial" w:hAnsi="Arial" w:cs="Arial"/>
              </w:rPr>
            </w:pPr>
            <w:r w:rsidRPr="002B18DF">
              <w:rPr>
                <w:rFonts w:ascii="Arial" w:hAnsi="Arial" w:cs="Arial"/>
              </w:rPr>
              <w:t>0.0</w:t>
            </w:r>
          </w:p>
        </w:tc>
        <w:tc>
          <w:tcPr>
            <w:tcW w:w="2070" w:type="dxa"/>
          </w:tcPr>
          <w:p w:rsidR="00131E2B" w:rsidRPr="002B18DF" w:rsidRDefault="00131E2B" w:rsidP="007047C6">
            <w:pPr>
              <w:spacing w:line="360" w:lineRule="auto"/>
              <w:jc w:val="center"/>
              <w:rPr>
                <w:rFonts w:ascii="Arial" w:hAnsi="Arial" w:cs="Arial"/>
              </w:rPr>
            </w:pPr>
            <w:r w:rsidRPr="002B18DF">
              <w:rPr>
                <w:rFonts w:ascii="Arial" w:hAnsi="Arial" w:cs="Arial"/>
              </w:rPr>
              <w:t>38</w:t>
            </w:r>
          </w:p>
        </w:tc>
        <w:tc>
          <w:tcPr>
            <w:tcW w:w="2250" w:type="dxa"/>
          </w:tcPr>
          <w:p w:rsidR="00131E2B" w:rsidRPr="002B18DF" w:rsidRDefault="00131E2B" w:rsidP="007047C6">
            <w:pPr>
              <w:spacing w:line="360" w:lineRule="auto"/>
              <w:jc w:val="center"/>
              <w:rPr>
                <w:rFonts w:ascii="Arial" w:hAnsi="Arial" w:cs="Arial"/>
              </w:rPr>
            </w:pPr>
            <w:r w:rsidRPr="002B18DF">
              <w:rPr>
                <w:rFonts w:ascii="Arial" w:hAnsi="Arial" w:cs="Arial"/>
              </w:rPr>
              <w:t>62</w:t>
            </w:r>
          </w:p>
        </w:tc>
      </w:tr>
      <w:tr w:rsidR="00131E2B" w:rsidRPr="002B18DF" w:rsidTr="007047C6">
        <w:tc>
          <w:tcPr>
            <w:tcW w:w="154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2.1</w:t>
            </w:r>
          </w:p>
        </w:tc>
        <w:tc>
          <w:tcPr>
            <w:tcW w:w="20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38</w:t>
            </w:r>
          </w:p>
        </w:tc>
        <w:tc>
          <w:tcPr>
            <w:tcW w:w="225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62</w:t>
            </w:r>
          </w:p>
        </w:tc>
      </w:tr>
      <w:tr w:rsidR="00131E2B" w:rsidRPr="002B18DF" w:rsidTr="007047C6">
        <w:tc>
          <w:tcPr>
            <w:tcW w:w="1548" w:type="dxa"/>
            <w:shd w:val="clear"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2.2</w:t>
            </w:r>
          </w:p>
        </w:tc>
        <w:tc>
          <w:tcPr>
            <w:tcW w:w="2070" w:type="dxa"/>
            <w:shd w:val="clear"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5</w:t>
            </w:r>
          </w:p>
        </w:tc>
        <w:tc>
          <w:tcPr>
            <w:tcW w:w="2250" w:type="dxa"/>
            <w:shd w:val="clear"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95</w:t>
            </w:r>
          </w:p>
        </w:tc>
      </w:tr>
      <w:tr w:rsidR="00131E2B" w:rsidRPr="002B18DF" w:rsidTr="007047C6">
        <w:tc>
          <w:tcPr>
            <w:tcW w:w="154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3.7</w:t>
            </w:r>
          </w:p>
        </w:tc>
        <w:tc>
          <w:tcPr>
            <w:tcW w:w="20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5</w:t>
            </w:r>
          </w:p>
        </w:tc>
        <w:tc>
          <w:tcPr>
            <w:tcW w:w="225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95</w:t>
            </w:r>
          </w:p>
        </w:tc>
      </w:tr>
      <w:tr w:rsidR="00131E2B" w:rsidRPr="002B18DF" w:rsidTr="007047C6">
        <w:tc>
          <w:tcPr>
            <w:tcW w:w="1548" w:type="dxa"/>
          </w:tcPr>
          <w:p w:rsidR="00131E2B" w:rsidRPr="002B18DF" w:rsidRDefault="00131E2B" w:rsidP="007047C6">
            <w:pPr>
              <w:spacing w:line="360" w:lineRule="auto"/>
              <w:jc w:val="center"/>
              <w:rPr>
                <w:rFonts w:ascii="Arial" w:hAnsi="Arial" w:cs="Arial"/>
              </w:rPr>
            </w:pPr>
            <w:r w:rsidRPr="002B18DF">
              <w:rPr>
                <w:rFonts w:ascii="Arial" w:hAnsi="Arial" w:cs="Arial"/>
              </w:rPr>
              <w:t>3.8</w:t>
            </w:r>
          </w:p>
        </w:tc>
        <w:tc>
          <w:tcPr>
            <w:tcW w:w="2070" w:type="dxa"/>
          </w:tcPr>
          <w:p w:rsidR="00131E2B" w:rsidRPr="002B18DF" w:rsidRDefault="00131E2B" w:rsidP="007047C6">
            <w:pPr>
              <w:spacing w:line="360" w:lineRule="auto"/>
              <w:jc w:val="center"/>
              <w:rPr>
                <w:rFonts w:ascii="Arial" w:hAnsi="Arial" w:cs="Arial"/>
              </w:rPr>
            </w:pPr>
            <w:r w:rsidRPr="002B18DF">
              <w:rPr>
                <w:rFonts w:ascii="Arial" w:hAnsi="Arial" w:cs="Arial"/>
              </w:rPr>
              <w:t>38</w:t>
            </w:r>
          </w:p>
        </w:tc>
        <w:tc>
          <w:tcPr>
            <w:tcW w:w="2250" w:type="dxa"/>
          </w:tcPr>
          <w:p w:rsidR="00131E2B" w:rsidRPr="002B18DF" w:rsidRDefault="00131E2B" w:rsidP="007047C6">
            <w:pPr>
              <w:spacing w:line="360" w:lineRule="auto"/>
              <w:jc w:val="center"/>
              <w:rPr>
                <w:rFonts w:ascii="Arial" w:hAnsi="Arial" w:cs="Arial"/>
              </w:rPr>
            </w:pPr>
            <w:r w:rsidRPr="002B18DF">
              <w:rPr>
                <w:rFonts w:ascii="Arial" w:hAnsi="Arial" w:cs="Arial"/>
              </w:rPr>
              <w:t>62</w:t>
            </w:r>
          </w:p>
        </w:tc>
      </w:tr>
      <w:tr w:rsidR="00131E2B" w:rsidRPr="002B18DF" w:rsidTr="007047C6">
        <w:tc>
          <w:tcPr>
            <w:tcW w:w="1548"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7.0</w:t>
            </w:r>
          </w:p>
        </w:tc>
        <w:tc>
          <w:tcPr>
            <w:tcW w:w="207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38</w:t>
            </w:r>
          </w:p>
        </w:tc>
        <w:tc>
          <w:tcPr>
            <w:tcW w:w="2250" w:type="dxa"/>
            <w:shd w:val="pct20" w:color="auto" w:fill="auto"/>
          </w:tcPr>
          <w:p w:rsidR="00131E2B" w:rsidRPr="002B18DF" w:rsidRDefault="00131E2B" w:rsidP="007047C6">
            <w:pPr>
              <w:spacing w:line="360" w:lineRule="auto"/>
              <w:jc w:val="center"/>
              <w:rPr>
                <w:rFonts w:ascii="Arial" w:hAnsi="Arial" w:cs="Arial"/>
              </w:rPr>
            </w:pPr>
            <w:r w:rsidRPr="002B18DF">
              <w:rPr>
                <w:rFonts w:ascii="Arial" w:hAnsi="Arial" w:cs="Arial"/>
              </w:rPr>
              <w:t>62</w:t>
            </w:r>
          </w:p>
        </w:tc>
      </w:tr>
    </w:tbl>
    <w:p w:rsidR="00131E2B" w:rsidRPr="002B18DF" w:rsidRDefault="00131E2B" w:rsidP="00B9729B">
      <w:pPr>
        <w:tabs>
          <w:tab w:val="left" w:pos="3150"/>
        </w:tabs>
        <w:spacing w:after="0" w:line="360" w:lineRule="auto"/>
        <w:rPr>
          <w:rFonts w:ascii="Arial" w:hAnsi="Arial" w:cs="Arial"/>
        </w:rPr>
      </w:pPr>
    </w:p>
    <w:p w:rsidR="00E84215" w:rsidRPr="002B18DF" w:rsidRDefault="004135D3" w:rsidP="00CB3935">
      <w:pPr>
        <w:spacing w:after="0" w:line="360" w:lineRule="auto"/>
        <w:rPr>
          <w:rFonts w:ascii="Arial" w:hAnsi="Arial" w:cs="Arial"/>
        </w:rPr>
      </w:pPr>
      <w:r w:rsidRPr="002B18DF">
        <w:rPr>
          <w:rFonts w:ascii="Arial" w:hAnsi="Arial" w:cs="Arial"/>
        </w:rPr>
        <w:t xml:space="preserve"> </w:t>
      </w:r>
    </w:p>
    <w:p w:rsidR="00CB3935" w:rsidRPr="002B18DF" w:rsidRDefault="00CB3935" w:rsidP="00FE18E5">
      <w:pPr>
        <w:tabs>
          <w:tab w:val="left" w:pos="3150"/>
        </w:tabs>
        <w:spacing w:after="0" w:line="360" w:lineRule="auto"/>
        <w:rPr>
          <w:rFonts w:ascii="Arial" w:hAnsi="Arial" w:cs="Arial"/>
        </w:rPr>
      </w:pPr>
    </w:p>
    <w:sectPr w:rsidR="00CB3935" w:rsidRPr="002B18DF" w:rsidSect="00D55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characterSpacingControl w:val="doNotCompress"/>
  <w:compat/>
  <w:rsids>
    <w:rsidRoot w:val="00131E2B"/>
    <w:rsid w:val="00065529"/>
    <w:rsid w:val="000F0D85"/>
    <w:rsid w:val="00131E2B"/>
    <w:rsid w:val="00216761"/>
    <w:rsid w:val="00237608"/>
    <w:rsid w:val="00256D5A"/>
    <w:rsid w:val="00297B15"/>
    <w:rsid w:val="002B18DF"/>
    <w:rsid w:val="00346036"/>
    <w:rsid w:val="00355465"/>
    <w:rsid w:val="003753B6"/>
    <w:rsid w:val="0038044D"/>
    <w:rsid w:val="004135D3"/>
    <w:rsid w:val="00414962"/>
    <w:rsid w:val="00482B30"/>
    <w:rsid w:val="004F38D8"/>
    <w:rsid w:val="005149CB"/>
    <w:rsid w:val="00607BFB"/>
    <w:rsid w:val="00620D28"/>
    <w:rsid w:val="00630540"/>
    <w:rsid w:val="006D0858"/>
    <w:rsid w:val="00702F6D"/>
    <w:rsid w:val="00787144"/>
    <w:rsid w:val="007E7C23"/>
    <w:rsid w:val="00925885"/>
    <w:rsid w:val="00940E3B"/>
    <w:rsid w:val="00941CCA"/>
    <w:rsid w:val="009B4561"/>
    <w:rsid w:val="009E7591"/>
    <w:rsid w:val="00B05CF6"/>
    <w:rsid w:val="00B5203D"/>
    <w:rsid w:val="00B6775F"/>
    <w:rsid w:val="00B9729B"/>
    <w:rsid w:val="00BE0700"/>
    <w:rsid w:val="00BF0E04"/>
    <w:rsid w:val="00C14127"/>
    <w:rsid w:val="00CB3935"/>
    <w:rsid w:val="00DF1B1E"/>
    <w:rsid w:val="00DF256E"/>
    <w:rsid w:val="00E07C3B"/>
    <w:rsid w:val="00E84215"/>
    <w:rsid w:val="00ED6CCE"/>
    <w:rsid w:val="00F85DC1"/>
    <w:rsid w:val="00FE18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E14069889D940B3D401E79B46BC29" ma:contentTypeVersion="0" ma:contentTypeDescription="Create a new document." ma:contentTypeScope="" ma:versionID="7e6b67f59543d68c3bd253ac98a630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BE9FC-D411-47A2-BCBC-8BB3B757A00A}">
  <ds:schemaRefs>
    <ds:schemaRef ds:uri="http://schemas.microsoft.com/sharepoint/v3/contenttype/forms"/>
  </ds:schemaRefs>
</ds:datastoreItem>
</file>

<file path=customXml/itemProps2.xml><?xml version="1.0" encoding="utf-8"?>
<ds:datastoreItem xmlns:ds="http://schemas.openxmlformats.org/officeDocument/2006/customXml" ds:itemID="{6381E470-E6A0-414C-A836-DF0AC68B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40C9F7-EBBE-4A5B-918E-9FD4F238738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2014-02-04T23:22:00Z</dcterms:created>
  <dcterms:modified xsi:type="dcterms:W3CDTF">2014-02-04T23:22:00Z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0x0101003A8E14069889D940B3D401E79B46BC29</vt:lpwstr>
  </property>
</Properties>
</file>