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4D" w:rsidRPr="006C5ACF" w:rsidRDefault="00694A4D" w:rsidP="00694A4D">
      <w:pPr>
        <w:rPr>
          <w:b/>
          <w:sz w:val="32"/>
          <w:szCs w:val="32"/>
        </w:rPr>
      </w:pPr>
      <w:r w:rsidRPr="00852752">
        <w:rPr>
          <w:b/>
          <w:sz w:val="28"/>
        </w:rPr>
        <w:t>Supporting Information</w:t>
      </w:r>
      <w:r>
        <w:rPr>
          <w:rFonts w:hint="eastAsia"/>
          <w:b/>
          <w:sz w:val="32"/>
          <w:szCs w:val="32"/>
        </w:rPr>
        <w:t xml:space="preserve"> </w:t>
      </w:r>
      <w:r w:rsidRPr="00852752">
        <w:rPr>
          <w:rFonts w:hint="eastAsia"/>
          <w:b/>
          <w:sz w:val="28"/>
          <w:szCs w:val="32"/>
        </w:rPr>
        <w:t>Materials and Methods</w:t>
      </w:r>
    </w:p>
    <w:p w:rsidR="00694A4D" w:rsidRDefault="00694A4D" w:rsidP="00694A4D"/>
    <w:p w:rsidR="00694A4D" w:rsidRPr="001119B3" w:rsidRDefault="00694A4D" w:rsidP="00694A4D">
      <w:pPr>
        <w:rPr>
          <w:b/>
        </w:rPr>
      </w:pPr>
      <w:r w:rsidRPr="001119B3">
        <w:rPr>
          <w:rFonts w:hint="eastAsia"/>
          <w:b/>
        </w:rPr>
        <w:t>Intracellular H</w:t>
      </w:r>
      <w:r w:rsidRPr="001119B3">
        <w:rPr>
          <w:rFonts w:hint="eastAsia"/>
          <w:b/>
          <w:vertAlign w:val="subscript"/>
        </w:rPr>
        <w:t>2</w:t>
      </w:r>
      <w:r w:rsidRPr="001119B3">
        <w:rPr>
          <w:rFonts w:hint="eastAsia"/>
          <w:b/>
        </w:rPr>
        <w:t>O</w:t>
      </w:r>
      <w:r w:rsidRPr="001119B3">
        <w:rPr>
          <w:rFonts w:hint="eastAsia"/>
          <w:b/>
          <w:vertAlign w:val="subscript"/>
        </w:rPr>
        <w:t>2</w:t>
      </w:r>
      <w:r w:rsidRPr="001119B3">
        <w:rPr>
          <w:rFonts w:hint="eastAsia"/>
          <w:b/>
        </w:rPr>
        <w:t xml:space="preserve"> detection</w:t>
      </w:r>
    </w:p>
    <w:p w:rsidR="00694A4D" w:rsidRDefault="00694A4D" w:rsidP="00694A4D">
      <w:r>
        <w:rPr>
          <w:rFonts w:hint="eastAsia"/>
        </w:rPr>
        <w:t xml:space="preserve">Cells were treated with drugs for indicated time and incubated with DCFHDA (5 </w:t>
      </w:r>
      <w:proofErr w:type="spellStart"/>
      <w:r w:rsidRPr="008A4EB0">
        <w:rPr>
          <w:rFonts w:eastAsia="新細明體"/>
        </w:rP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>) (</w:t>
      </w:r>
      <w:r>
        <w:rPr>
          <w:rStyle w:val="st"/>
        </w:rPr>
        <w:t>Molecular Probes</w:t>
      </w:r>
      <w:r>
        <w:rPr>
          <w:rFonts w:hint="eastAsia"/>
        </w:rPr>
        <w:t>) for 30 min at 37</w:t>
      </w:r>
      <w:r w:rsidRPr="00C668E3">
        <w:rPr>
          <w:rFonts w:hAnsiTheme="minorEastAsia"/>
        </w:rPr>
        <w:t>℃</w:t>
      </w:r>
      <w:r w:rsidRPr="001119B3">
        <w:t xml:space="preserve">. Cells were </w:t>
      </w:r>
      <w:r>
        <w:rPr>
          <w:rFonts w:hint="eastAsia"/>
        </w:rPr>
        <w:t xml:space="preserve">than </w:t>
      </w:r>
      <w:r>
        <w:t>detached</w:t>
      </w:r>
      <w:r>
        <w:rPr>
          <w:rFonts w:hint="eastAsia"/>
        </w:rPr>
        <w:t xml:space="preserve"> by </w:t>
      </w:r>
      <w:proofErr w:type="spellStart"/>
      <w:r>
        <w:rPr>
          <w:rFonts w:hint="eastAsia"/>
        </w:rPr>
        <w:t>trypsin</w:t>
      </w:r>
      <w:proofErr w:type="spellEnd"/>
      <w:r>
        <w:rPr>
          <w:rFonts w:hint="eastAsia"/>
        </w:rPr>
        <w:t xml:space="preserve"> and analyzed by flow </w:t>
      </w:r>
      <w:proofErr w:type="spellStart"/>
      <w:r>
        <w:rPr>
          <w:rFonts w:hint="eastAsia"/>
        </w:rPr>
        <w:t>cytometry</w:t>
      </w:r>
      <w:proofErr w:type="spellEnd"/>
      <w:r>
        <w:rPr>
          <w:rFonts w:hint="eastAsia"/>
        </w:rPr>
        <w:t xml:space="preserve"> with FL1 parameter.</w:t>
      </w:r>
    </w:p>
    <w:p w:rsidR="00694A4D" w:rsidRDefault="00694A4D" w:rsidP="00694A4D"/>
    <w:p w:rsidR="00694A4D" w:rsidRPr="00C668E3" w:rsidRDefault="00694A4D" w:rsidP="00694A4D">
      <w:pPr>
        <w:rPr>
          <w:b/>
        </w:rPr>
      </w:pPr>
      <w:r w:rsidRPr="00C668E3">
        <w:rPr>
          <w:rFonts w:hint="eastAsia"/>
          <w:b/>
        </w:rPr>
        <w:t>Cell Cycle analysis</w:t>
      </w:r>
    </w:p>
    <w:p w:rsidR="00694A4D" w:rsidRDefault="00694A4D" w:rsidP="00694A4D">
      <w:pPr>
        <w:autoSpaceDE w:val="0"/>
        <w:autoSpaceDN w:val="0"/>
        <w:adjustRightInd w:val="0"/>
        <w:rPr>
          <w:rFonts w:eastAsia="AdvTimes" w:cs="AdvTimes"/>
          <w:kern w:val="0"/>
          <w:szCs w:val="24"/>
        </w:rPr>
      </w:pPr>
      <w:r>
        <w:rPr>
          <w:rFonts w:hint="eastAsia"/>
        </w:rPr>
        <w:t xml:space="preserve">Cells were treated with 5 </w:t>
      </w:r>
      <w:proofErr w:type="spellStart"/>
      <w:r w:rsidRPr="008A4EB0">
        <w:rPr>
          <w:rFonts w:eastAsia="新細明體"/>
        </w:rP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 xml:space="preserve"> </w:t>
      </w:r>
      <w:r w:rsidRPr="00C668E3">
        <w:rPr>
          <w:rFonts w:eastAsia="新細明體"/>
        </w:rPr>
        <w:t>β</w:t>
      </w:r>
      <w:r>
        <w:rPr>
          <w:rFonts w:hint="eastAsia"/>
        </w:rPr>
        <w:t>-</w:t>
      </w:r>
      <w:proofErr w:type="spellStart"/>
      <w:r>
        <w:rPr>
          <w:rFonts w:hint="eastAsia"/>
        </w:rPr>
        <w:t>lapachone</w:t>
      </w:r>
      <w:proofErr w:type="spellEnd"/>
      <w:r>
        <w:rPr>
          <w:rFonts w:hint="eastAsia"/>
        </w:rPr>
        <w:t xml:space="preserve"> for indicated times, collected, and store at -20</w:t>
      </w:r>
      <w:r w:rsidRPr="00C668E3">
        <w:t xml:space="preserve"> </w:t>
      </w:r>
      <w:r w:rsidRPr="00C668E3">
        <w:rPr>
          <w:rFonts w:hAnsiTheme="minorEastAsia"/>
        </w:rPr>
        <w:t>℃</w:t>
      </w:r>
      <w:r>
        <w:rPr>
          <w:rFonts w:hAnsiTheme="minorEastAsia" w:hint="eastAsia"/>
        </w:rPr>
        <w:t xml:space="preserve"> in 80 % </w:t>
      </w:r>
      <w:proofErr w:type="spellStart"/>
      <w:r>
        <w:rPr>
          <w:rFonts w:hAnsiTheme="minorEastAsia" w:hint="eastAsia"/>
        </w:rPr>
        <w:t>EtOH</w:t>
      </w:r>
      <w:proofErr w:type="spellEnd"/>
      <w:r>
        <w:rPr>
          <w:rFonts w:hAnsiTheme="minorEastAsia" w:hint="eastAsia"/>
        </w:rPr>
        <w:t>/PBS for 2 hours</w:t>
      </w:r>
      <w:r>
        <w:rPr>
          <w:rFonts w:hint="eastAsia"/>
        </w:rPr>
        <w:t>.</w:t>
      </w:r>
      <w:r w:rsidRPr="003C5355">
        <w:rPr>
          <w:rFonts w:eastAsia="AdvTimes" w:cs="AdvTimes"/>
          <w:kern w:val="0"/>
          <w:szCs w:val="24"/>
        </w:rPr>
        <w:t xml:space="preserve"> Cells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>were then washed twice, incubated for 30 min at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 xml:space="preserve">37 </w:t>
      </w:r>
      <w:r w:rsidRPr="00C668E3">
        <w:rPr>
          <w:rFonts w:hAnsiTheme="minorEastAsia"/>
        </w:rPr>
        <w:t>℃</w:t>
      </w:r>
      <w:r w:rsidRPr="003C5355">
        <w:rPr>
          <w:rFonts w:eastAsia="AdvTimes" w:cs="AdvTimes"/>
          <w:kern w:val="0"/>
          <w:szCs w:val="24"/>
        </w:rPr>
        <w:t xml:space="preserve"> with 0.5 ml of 0.5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CYEXP"/>
          <w:kern w:val="0"/>
          <w:szCs w:val="24"/>
        </w:rPr>
        <w:t xml:space="preserve">% </w:t>
      </w:r>
      <w:r w:rsidRPr="003C5355">
        <w:rPr>
          <w:rFonts w:eastAsia="AdvTimes" w:cs="AdvTimes"/>
          <w:kern w:val="0"/>
          <w:szCs w:val="24"/>
        </w:rPr>
        <w:t>Triton X-100/PBS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 xml:space="preserve">containing 1 mg/ml of </w:t>
      </w:r>
      <w:proofErr w:type="spellStart"/>
      <w:r w:rsidRPr="003C5355">
        <w:rPr>
          <w:rFonts w:eastAsia="AdvTimes" w:cs="AdvTimes"/>
          <w:kern w:val="0"/>
          <w:szCs w:val="24"/>
        </w:rPr>
        <w:t>RNase</w:t>
      </w:r>
      <w:proofErr w:type="spellEnd"/>
      <w:r w:rsidRPr="003C5355">
        <w:rPr>
          <w:rFonts w:eastAsia="AdvTimes" w:cs="AdvTimes"/>
          <w:kern w:val="0"/>
          <w:szCs w:val="24"/>
        </w:rPr>
        <w:t xml:space="preserve"> A, and stained for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 xml:space="preserve">10 min with 0.5 ml of 50 </w:t>
      </w:r>
      <w:proofErr w:type="spellStart"/>
      <w:r w:rsidRPr="008A4EB0">
        <w:rPr>
          <w:rFonts w:eastAsia="新細明體"/>
        </w:rPr>
        <w:t>μ</w:t>
      </w:r>
      <w:r w:rsidRPr="003C5355">
        <w:rPr>
          <w:rFonts w:eastAsia="AdvTimes" w:cs="AdvTimes"/>
          <w:kern w:val="0"/>
          <w:szCs w:val="24"/>
        </w:rPr>
        <w:t>g</w:t>
      </w:r>
      <w:proofErr w:type="spellEnd"/>
      <w:r w:rsidRPr="003C5355">
        <w:rPr>
          <w:rFonts w:eastAsia="AdvTimes" w:cs="AdvTimes"/>
          <w:kern w:val="0"/>
          <w:szCs w:val="24"/>
        </w:rPr>
        <w:t xml:space="preserve">/ml </w:t>
      </w:r>
      <w:proofErr w:type="spellStart"/>
      <w:r w:rsidRPr="003C5355">
        <w:rPr>
          <w:rFonts w:eastAsia="AdvTimes" w:cs="AdvTimes"/>
          <w:kern w:val="0"/>
          <w:szCs w:val="24"/>
        </w:rPr>
        <w:t>propidium</w:t>
      </w:r>
      <w:proofErr w:type="spellEnd"/>
      <w:r w:rsidRPr="003C5355">
        <w:rPr>
          <w:rFonts w:eastAsia="AdvTimes" w:cs="AdvTimes"/>
          <w:kern w:val="0"/>
          <w:szCs w:val="24"/>
        </w:rPr>
        <w:t xml:space="preserve"> iodide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>(PI). The intensity of the fluorescence emitted by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>the PI-DNA complex was quantified after laser</w:t>
      </w:r>
      <w:r>
        <w:rPr>
          <w:rFonts w:eastAsia="AdvTimes" w:cs="AdvTimes" w:hint="eastAsia"/>
          <w:kern w:val="0"/>
          <w:szCs w:val="24"/>
        </w:rPr>
        <w:t xml:space="preserve"> </w:t>
      </w:r>
      <w:r w:rsidRPr="003C5355">
        <w:rPr>
          <w:rFonts w:eastAsia="AdvTimes" w:cs="AdvTimes"/>
          <w:kern w:val="0"/>
          <w:szCs w:val="24"/>
        </w:rPr>
        <w:t xml:space="preserve">excitation of the fluorescent dye, using a </w:t>
      </w:r>
      <w:proofErr w:type="spellStart"/>
      <w:r w:rsidRPr="003C5355">
        <w:rPr>
          <w:rFonts w:eastAsia="AdvTimes" w:cs="AdvTimes"/>
          <w:kern w:val="0"/>
          <w:szCs w:val="24"/>
        </w:rPr>
        <w:t>FACScan</w:t>
      </w:r>
      <w:proofErr w:type="spellEnd"/>
      <w:r>
        <w:rPr>
          <w:rFonts w:eastAsia="AdvTimes" w:cs="AdvTimes" w:hint="eastAsia"/>
          <w:kern w:val="0"/>
          <w:szCs w:val="24"/>
        </w:rPr>
        <w:t xml:space="preserve"> </w:t>
      </w:r>
      <w:r>
        <w:rPr>
          <w:rFonts w:eastAsia="AdvTimes" w:cs="AdvTimes"/>
          <w:kern w:val="0"/>
          <w:szCs w:val="24"/>
        </w:rPr>
        <w:t xml:space="preserve">flow </w:t>
      </w:r>
      <w:proofErr w:type="spellStart"/>
      <w:r>
        <w:rPr>
          <w:rFonts w:eastAsia="AdvTimes" w:cs="AdvTimes"/>
          <w:kern w:val="0"/>
          <w:szCs w:val="24"/>
        </w:rPr>
        <w:t>cytometr</w:t>
      </w:r>
      <w:r>
        <w:rPr>
          <w:rFonts w:eastAsia="AdvTimes" w:cs="AdvTimes" w:hint="eastAsia"/>
          <w:kern w:val="0"/>
          <w:szCs w:val="24"/>
        </w:rPr>
        <w:t>y</w:t>
      </w:r>
      <w:proofErr w:type="spellEnd"/>
      <w:r>
        <w:rPr>
          <w:rFonts w:eastAsia="AdvTimes" w:cs="AdvTimes" w:hint="eastAsia"/>
          <w:kern w:val="0"/>
          <w:szCs w:val="24"/>
        </w:rPr>
        <w:t>.</w:t>
      </w:r>
    </w:p>
    <w:p w:rsidR="00694A4D" w:rsidRDefault="00694A4D" w:rsidP="00694A4D">
      <w:pPr>
        <w:autoSpaceDE w:val="0"/>
        <w:autoSpaceDN w:val="0"/>
        <w:adjustRightInd w:val="0"/>
        <w:rPr>
          <w:rFonts w:eastAsia="AdvTimes" w:cs="AdvTimes"/>
          <w:kern w:val="0"/>
          <w:szCs w:val="24"/>
        </w:rPr>
      </w:pPr>
    </w:p>
    <w:p w:rsidR="00694A4D" w:rsidRPr="00420863" w:rsidRDefault="00694A4D" w:rsidP="00694A4D">
      <w:pPr>
        <w:autoSpaceDE w:val="0"/>
        <w:autoSpaceDN w:val="0"/>
        <w:adjustRightInd w:val="0"/>
        <w:rPr>
          <w:rFonts w:eastAsia="AdvTimes" w:cs="AdvTimes"/>
          <w:b/>
          <w:kern w:val="0"/>
          <w:szCs w:val="24"/>
        </w:rPr>
      </w:pPr>
      <w:r w:rsidRPr="00420863">
        <w:rPr>
          <w:rFonts w:eastAsia="AdvTimes" w:cs="AdvTimes" w:hint="eastAsia"/>
          <w:b/>
          <w:kern w:val="0"/>
          <w:szCs w:val="24"/>
        </w:rPr>
        <w:t>Mitochondrial membrane potential measurement</w:t>
      </w:r>
    </w:p>
    <w:p w:rsidR="00694A4D" w:rsidRPr="00420863" w:rsidRDefault="00694A4D" w:rsidP="00694A4D">
      <w:pPr>
        <w:autoSpaceDE w:val="0"/>
        <w:autoSpaceDN w:val="0"/>
        <w:adjustRightInd w:val="0"/>
        <w:rPr>
          <w:rFonts w:cs="AdvPAC59"/>
          <w:kern w:val="0"/>
          <w:szCs w:val="24"/>
        </w:rPr>
      </w:pPr>
      <w:r w:rsidRPr="00420863">
        <w:rPr>
          <w:rFonts w:cs="AdvPAC59"/>
          <w:kern w:val="0"/>
          <w:szCs w:val="24"/>
        </w:rPr>
        <w:t>Cells were seeded</w:t>
      </w:r>
      <w:r>
        <w:rPr>
          <w:rFonts w:cs="AdvPAC59" w:hint="eastAsia"/>
          <w:kern w:val="0"/>
          <w:szCs w:val="24"/>
        </w:rPr>
        <w:t xml:space="preserve"> </w:t>
      </w:r>
      <w:r w:rsidRPr="00420863">
        <w:rPr>
          <w:rFonts w:cs="AdvPAC59"/>
          <w:kern w:val="0"/>
          <w:szCs w:val="24"/>
        </w:rPr>
        <w:t xml:space="preserve">into a 6-well culture plate for 24 h, and then treated with </w:t>
      </w:r>
      <w:r>
        <w:rPr>
          <w:rFonts w:hint="eastAsia"/>
        </w:rPr>
        <w:t xml:space="preserve">5 </w:t>
      </w:r>
      <w:proofErr w:type="spellStart"/>
      <w:r w:rsidRPr="008A4EB0">
        <w:rPr>
          <w:rFonts w:eastAsia="新細明體"/>
        </w:rP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 xml:space="preserve"> </w:t>
      </w:r>
      <w:r w:rsidRPr="00C668E3">
        <w:rPr>
          <w:rFonts w:eastAsia="新細明體"/>
        </w:rPr>
        <w:t>β</w:t>
      </w:r>
      <w:r>
        <w:rPr>
          <w:rFonts w:hint="eastAsia"/>
        </w:rPr>
        <w:t>-</w:t>
      </w:r>
      <w:proofErr w:type="spellStart"/>
      <w:r>
        <w:rPr>
          <w:rFonts w:hint="eastAsia"/>
        </w:rPr>
        <w:t>lapachone</w:t>
      </w:r>
      <w:r w:rsidRPr="00420863">
        <w:rPr>
          <w:rFonts w:cs="AdvPAC59"/>
          <w:kern w:val="0"/>
          <w:szCs w:val="24"/>
        </w:rPr>
        <w:t>.</w:t>
      </w:r>
      <w:r>
        <w:rPr>
          <w:rFonts w:cs="AdvPAC59" w:hint="eastAsia"/>
          <w:kern w:val="0"/>
          <w:szCs w:val="24"/>
        </w:rPr>
        <w:t>C</w:t>
      </w:r>
      <w:r w:rsidRPr="00420863">
        <w:rPr>
          <w:rFonts w:cs="AdvPAC59"/>
          <w:kern w:val="0"/>
          <w:szCs w:val="24"/>
        </w:rPr>
        <w:t>ells</w:t>
      </w:r>
      <w:proofErr w:type="spellEnd"/>
      <w:r w:rsidRPr="00420863">
        <w:rPr>
          <w:rFonts w:cs="AdvPAC59"/>
          <w:kern w:val="0"/>
          <w:szCs w:val="24"/>
        </w:rPr>
        <w:t xml:space="preserve"> were</w:t>
      </w:r>
      <w:r>
        <w:rPr>
          <w:rFonts w:cs="AdvPAC59" w:hint="eastAsia"/>
          <w:kern w:val="0"/>
          <w:szCs w:val="24"/>
        </w:rPr>
        <w:t xml:space="preserve"> then </w:t>
      </w:r>
      <w:r w:rsidRPr="00420863">
        <w:rPr>
          <w:rFonts w:cs="AdvPAC59"/>
          <w:kern w:val="0"/>
          <w:szCs w:val="24"/>
        </w:rPr>
        <w:t xml:space="preserve">incubated in medium containing 10 </w:t>
      </w:r>
      <w:r w:rsidRPr="00420863">
        <w:rPr>
          <w:rFonts w:eastAsia="AdvP7DA6" w:cs="AdvP7DA6"/>
          <w:kern w:val="0"/>
          <w:szCs w:val="24"/>
        </w:rPr>
        <w:t>m</w:t>
      </w:r>
      <w:r w:rsidRPr="00420863">
        <w:rPr>
          <w:rFonts w:cs="AdvPAC59"/>
          <w:kern w:val="0"/>
          <w:szCs w:val="24"/>
        </w:rPr>
        <w:t>g/ml of 5,5</w:t>
      </w:r>
      <w:r w:rsidRPr="00420863">
        <w:rPr>
          <w:rFonts w:eastAsia="AdvP4C4E74" w:cs="AdvP4C4E74"/>
          <w:kern w:val="0"/>
          <w:szCs w:val="24"/>
        </w:rPr>
        <w:t>0</w:t>
      </w:r>
      <w:r w:rsidRPr="00420863">
        <w:rPr>
          <w:rFonts w:cs="AdvPAC59"/>
          <w:kern w:val="0"/>
          <w:szCs w:val="24"/>
        </w:rPr>
        <w:t>,6,6</w:t>
      </w:r>
      <w:r w:rsidRPr="00420863">
        <w:rPr>
          <w:rFonts w:eastAsia="AdvP4C4E74" w:cs="AdvP4C4E74"/>
          <w:kern w:val="0"/>
          <w:szCs w:val="24"/>
        </w:rPr>
        <w:t>0</w:t>
      </w:r>
      <w:r w:rsidRPr="00420863">
        <w:rPr>
          <w:rFonts w:cs="AdvPAC59"/>
          <w:kern w:val="0"/>
          <w:szCs w:val="24"/>
        </w:rPr>
        <w:t>-tetrachloro-1,1</w:t>
      </w:r>
      <w:r w:rsidRPr="00420863">
        <w:rPr>
          <w:rFonts w:eastAsia="AdvP4C4E74" w:cs="AdvP4C4E74"/>
          <w:kern w:val="0"/>
          <w:szCs w:val="24"/>
        </w:rPr>
        <w:t>0</w:t>
      </w:r>
      <w:r w:rsidRPr="00420863">
        <w:rPr>
          <w:rFonts w:cs="AdvPAC59"/>
          <w:kern w:val="0"/>
          <w:szCs w:val="24"/>
        </w:rPr>
        <w:t>,3,3</w:t>
      </w:r>
      <w:r w:rsidRPr="00420863">
        <w:rPr>
          <w:rFonts w:eastAsia="AdvP4C4E74" w:cs="AdvP4C4E74"/>
          <w:kern w:val="0"/>
          <w:szCs w:val="24"/>
        </w:rPr>
        <w:t>0</w:t>
      </w:r>
      <w:r w:rsidRPr="00420863">
        <w:rPr>
          <w:rFonts w:cs="AdvPAC59"/>
          <w:kern w:val="0"/>
          <w:szCs w:val="24"/>
        </w:rPr>
        <w:t>-tetraethyl-benzimidazolylcarbocyanine iodide (JC-1) at 37</w:t>
      </w:r>
      <w:r>
        <w:rPr>
          <w:rFonts w:cs="AdvPAC59" w:hint="eastAsia"/>
          <w:kern w:val="0"/>
          <w:szCs w:val="24"/>
        </w:rPr>
        <w:t xml:space="preserve"> </w:t>
      </w:r>
      <w:r w:rsidRPr="00C668E3">
        <w:rPr>
          <w:rFonts w:hAnsiTheme="minorEastAsia"/>
        </w:rPr>
        <w:t>℃</w:t>
      </w:r>
      <w:r>
        <w:rPr>
          <w:rFonts w:hAnsiTheme="minorEastAsia" w:hint="eastAsia"/>
        </w:rPr>
        <w:t xml:space="preserve"> </w:t>
      </w:r>
      <w:r w:rsidRPr="00420863">
        <w:rPr>
          <w:rFonts w:cs="AdvPAC59"/>
          <w:kern w:val="0"/>
          <w:szCs w:val="24"/>
        </w:rPr>
        <w:t xml:space="preserve">for </w:t>
      </w:r>
      <w:r>
        <w:rPr>
          <w:rFonts w:cs="AdvPAC59" w:hint="eastAsia"/>
          <w:kern w:val="0"/>
          <w:szCs w:val="24"/>
        </w:rPr>
        <w:t>30</w:t>
      </w:r>
      <w:r w:rsidRPr="00420863">
        <w:rPr>
          <w:rFonts w:cs="AdvPAC59"/>
          <w:kern w:val="0"/>
          <w:szCs w:val="24"/>
        </w:rPr>
        <w:t xml:space="preserve"> min, washed with PBS, </w:t>
      </w:r>
      <w:proofErr w:type="spellStart"/>
      <w:r w:rsidRPr="00420863">
        <w:rPr>
          <w:rFonts w:cs="AdvPAC59"/>
          <w:kern w:val="0"/>
          <w:szCs w:val="24"/>
        </w:rPr>
        <w:t>trypsinized</w:t>
      </w:r>
      <w:proofErr w:type="spellEnd"/>
      <w:r w:rsidRPr="00420863">
        <w:rPr>
          <w:rFonts w:cs="AdvPAC59"/>
          <w:kern w:val="0"/>
          <w:szCs w:val="24"/>
        </w:rPr>
        <w:t>, and immediately analyzed by</w:t>
      </w:r>
    </w:p>
    <w:p w:rsidR="00694A4D" w:rsidRDefault="00694A4D" w:rsidP="00694A4D">
      <w:pPr>
        <w:autoSpaceDE w:val="0"/>
        <w:autoSpaceDN w:val="0"/>
        <w:adjustRightInd w:val="0"/>
        <w:rPr>
          <w:rFonts w:cs="AdvPAC59"/>
          <w:kern w:val="0"/>
          <w:szCs w:val="24"/>
        </w:rPr>
      </w:pPr>
      <w:proofErr w:type="gramStart"/>
      <w:r w:rsidRPr="00420863">
        <w:rPr>
          <w:rFonts w:cs="AdvPAC59"/>
          <w:kern w:val="0"/>
          <w:szCs w:val="24"/>
        </w:rPr>
        <w:t>flow</w:t>
      </w:r>
      <w:proofErr w:type="gramEnd"/>
      <w:r w:rsidRPr="00420863">
        <w:rPr>
          <w:rFonts w:cs="AdvPAC59"/>
          <w:kern w:val="0"/>
          <w:szCs w:val="24"/>
        </w:rPr>
        <w:t xml:space="preserve"> </w:t>
      </w:r>
      <w:proofErr w:type="spellStart"/>
      <w:r w:rsidRPr="00420863">
        <w:rPr>
          <w:rFonts w:cs="AdvPAC59"/>
          <w:kern w:val="0"/>
          <w:szCs w:val="24"/>
        </w:rPr>
        <w:t>cytometry</w:t>
      </w:r>
      <w:proofErr w:type="spellEnd"/>
      <w:r w:rsidRPr="00420863">
        <w:rPr>
          <w:rFonts w:cs="AdvPAC59"/>
          <w:kern w:val="0"/>
          <w:szCs w:val="24"/>
        </w:rPr>
        <w:t xml:space="preserve">. </w:t>
      </w:r>
    </w:p>
    <w:p w:rsidR="00694A4D" w:rsidRPr="00420863" w:rsidRDefault="00694A4D" w:rsidP="00694A4D">
      <w:pPr>
        <w:autoSpaceDE w:val="0"/>
        <w:autoSpaceDN w:val="0"/>
        <w:adjustRightInd w:val="0"/>
        <w:rPr>
          <w:szCs w:val="24"/>
        </w:rPr>
      </w:pPr>
    </w:p>
    <w:p w:rsidR="00694A4D" w:rsidRPr="00925D76" w:rsidRDefault="00694A4D" w:rsidP="00694A4D">
      <w:pPr>
        <w:widowControl/>
        <w:outlineLvl w:val="3"/>
        <w:rPr>
          <w:rFonts w:eastAsia="新細明體" w:cs="新細明體"/>
          <w:b/>
          <w:bCs/>
          <w:kern w:val="0"/>
          <w:szCs w:val="24"/>
        </w:rPr>
      </w:pPr>
      <w:r w:rsidRPr="00925D76">
        <w:rPr>
          <w:rFonts w:eastAsia="新細明體" w:cs="新細明體"/>
          <w:b/>
          <w:bCs/>
          <w:kern w:val="0"/>
          <w:szCs w:val="24"/>
        </w:rPr>
        <w:t>Real-time RT-PCR</w:t>
      </w:r>
    </w:p>
    <w:p w:rsidR="00694A4D" w:rsidRPr="00925D76" w:rsidRDefault="00694A4D" w:rsidP="00694A4D">
      <w:pPr>
        <w:widowControl/>
        <w:rPr>
          <w:rFonts w:eastAsia="新細明體" w:cs="新細明體"/>
          <w:kern w:val="0"/>
          <w:szCs w:val="24"/>
        </w:rPr>
      </w:pPr>
      <w:bookmarkStart w:id="0" w:name="article1.body1.sec4.sec8.p1"/>
      <w:bookmarkEnd w:id="0"/>
      <w:r w:rsidRPr="00925D76">
        <w:rPr>
          <w:rFonts w:eastAsia="新細明體" w:cs="新細明體"/>
          <w:kern w:val="0"/>
          <w:szCs w:val="24"/>
        </w:rPr>
        <w:t xml:space="preserve">Total RNA was reverse-transcribed to </w:t>
      </w:r>
      <w:proofErr w:type="spellStart"/>
      <w:r w:rsidRPr="00925D76">
        <w:rPr>
          <w:rFonts w:eastAsia="新細明體" w:cs="新細明體"/>
          <w:kern w:val="0"/>
          <w:szCs w:val="24"/>
        </w:rPr>
        <w:t>cDNA</w:t>
      </w:r>
      <w:proofErr w:type="spellEnd"/>
      <w:r w:rsidRPr="00925D76">
        <w:rPr>
          <w:rFonts w:eastAsia="新細明體" w:cs="新細明體"/>
          <w:kern w:val="0"/>
          <w:szCs w:val="24"/>
        </w:rPr>
        <w:t xml:space="preserve"> with </w:t>
      </w:r>
      <w:proofErr w:type="spellStart"/>
      <w:r w:rsidRPr="00925D76">
        <w:rPr>
          <w:rFonts w:eastAsia="新細明體" w:cs="新細明體"/>
          <w:kern w:val="0"/>
          <w:szCs w:val="24"/>
        </w:rPr>
        <w:t>SuperScript</w:t>
      </w:r>
      <w:proofErr w:type="spellEnd"/>
      <w:r w:rsidRPr="00925D76">
        <w:rPr>
          <w:rFonts w:eastAsia="新細明體" w:cs="新細明體"/>
          <w:kern w:val="0"/>
          <w:szCs w:val="24"/>
        </w:rPr>
        <w:t xml:space="preserve"> II reverse transcription kit, then used for real-time PCR with Power SYBR Green PCR Mix (Applied </w:t>
      </w:r>
      <w:proofErr w:type="spellStart"/>
      <w:r w:rsidRPr="00925D76">
        <w:rPr>
          <w:rFonts w:eastAsia="新細明體" w:cs="新細明體"/>
          <w:kern w:val="0"/>
          <w:szCs w:val="24"/>
        </w:rPr>
        <w:t>Biosystems</w:t>
      </w:r>
      <w:proofErr w:type="spellEnd"/>
      <w:r w:rsidRPr="00925D76">
        <w:rPr>
          <w:rFonts w:eastAsia="新細明體" w:cs="新細明體"/>
          <w:kern w:val="0"/>
          <w:szCs w:val="24"/>
        </w:rPr>
        <w:t>) and indicated primers (</w:t>
      </w:r>
      <w:r>
        <w:rPr>
          <w:rFonts w:eastAsia="新細明體" w:cs="新細明體" w:hint="eastAsia"/>
          <w:kern w:val="0"/>
          <w:szCs w:val="24"/>
        </w:rPr>
        <w:t>Supplementary</w:t>
      </w:r>
      <w:r w:rsidRPr="001119B3">
        <w:rPr>
          <w:rFonts w:eastAsia="新細明體" w:cs="新細明體" w:hint="eastAsia"/>
          <w:color w:val="000000" w:themeColor="text1"/>
          <w:kern w:val="0"/>
          <w:szCs w:val="24"/>
        </w:rPr>
        <w:t xml:space="preserve"> </w:t>
      </w:r>
      <w:hyperlink r:id="rId4" w:anchor="pgen.1002229.s009" w:history="1">
        <w:r w:rsidRPr="001119B3">
          <w:rPr>
            <w:rFonts w:eastAsia="新細明體" w:cs="新細明體"/>
            <w:color w:val="000000" w:themeColor="text1"/>
            <w:kern w:val="0"/>
            <w:szCs w:val="24"/>
          </w:rPr>
          <w:t>Table 1</w:t>
        </w:r>
      </w:hyperlink>
      <w:r w:rsidRPr="00925D76">
        <w:rPr>
          <w:rFonts w:eastAsia="新細明體" w:cs="新細明體"/>
          <w:kern w:val="0"/>
          <w:szCs w:val="24"/>
        </w:rPr>
        <w:t>), and normalized to β-</w:t>
      </w:r>
      <w:proofErr w:type="spellStart"/>
      <w:r w:rsidRPr="00925D76">
        <w:rPr>
          <w:rFonts w:eastAsia="新細明體" w:cs="新細明體"/>
          <w:kern w:val="0"/>
          <w:szCs w:val="24"/>
        </w:rPr>
        <w:t>actin</w:t>
      </w:r>
      <w:proofErr w:type="spellEnd"/>
      <w:r w:rsidRPr="00925D76">
        <w:rPr>
          <w:rFonts w:eastAsia="新細明體" w:cs="新細明體"/>
          <w:kern w:val="0"/>
          <w:szCs w:val="24"/>
        </w:rPr>
        <w:t xml:space="preserve"> mRNA levels measured in parallel.</w:t>
      </w:r>
    </w:p>
    <w:p w:rsidR="00694A4D" w:rsidRPr="008536F2" w:rsidRDefault="00694A4D" w:rsidP="00694A4D">
      <w:pPr>
        <w:spacing w:line="360" w:lineRule="auto"/>
        <w:rPr>
          <w:b/>
          <w:color w:val="000000"/>
        </w:rPr>
      </w:pPr>
    </w:p>
    <w:p w:rsidR="00A955DB" w:rsidRPr="00694A4D" w:rsidRDefault="00A955DB"/>
    <w:sectPr w:rsidR="00A955DB" w:rsidRPr="00694A4D" w:rsidSect="003B3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CYEX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C5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DA6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4C4E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A4D"/>
    <w:rsid w:val="00694A4D"/>
    <w:rsid w:val="00A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D"/>
    <w:pPr>
      <w:widowControl w:val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69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sgenetics.org/article/info%3Adoi%2F10.1371%2Fjournal.pgen.10022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1</cp:revision>
  <dcterms:created xsi:type="dcterms:W3CDTF">2014-01-13T01:36:00Z</dcterms:created>
  <dcterms:modified xsi:type="dcterms:W3CDTF">2014-01-13T01:36:00Z</dcterms:modified>
</cp:coreProperties>
</file>