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05" w:rsidRDefault="00FE173F" w:rsidP="005072FC">
      <w:pPr>
        <w:pStyle w:val="Heading1"/>
        <w:spacing w:before="0" w:line="480" w:lineRule="auto"/>
        <w:jc w:val="center"/>
        <w:rPr>
          <w:rStyle w:val="Strong"/>
          <w:rFonts w:ascii="Arial" w:hAnsi="Arial" w:cs="Arial"/>
          <w:b/>
          <w:sz w:val="22"/>
          <w:szCs w:val="22"/>
        </w:rPr>
      </w:pPr>
      <w:r>
        <w:rPr>
          <w:rStyle w:val="Strong"/>
          <w:rFonts w:ascii="Arial" w:hAnsi="Arial" w:cs="Arial"/>
          <w:b/>
          <w:sz w:val="22"/>
          <w:szCs w:val="22"/>
        </w:rPr>
        <w:t xml:space="preserve"> </w:t>
      </w:r>
      <w:r w:rsidR="005072FC" w:rsidRPr="00E84C05">
        <w:rPr>
          <w:rStyle w:val="Strong"/>
          <w:rFonts w:ascii="Arial" w:hAnsi="Arial" w:cs="Arial"/>
          <w:b/>
          <w:sz w:val="22"/>
          <w:szCs w:val="22"/>
        </w:rPr>
        <w:t xml:space="preserve">Statistical Analyses for the Study of </w:t>
      </w:r>
    </w:p>
    <w:p w:rsidR="00E84C05" w:rsidRDefault="005072FC" w:rsidP="005072FC">
      <w:pPr>
        <w:pStyle w:val="Heading1"/>
        <w:spacing w:before="0" w:line="480" w:lineRule="auto"/>
        <w:jc w:val="center"/>
        <w:rPr>
          <w:rStyle w:val="Strong"/>
          <w:rFonts w:ascii="Arial" w:hAnsi="Arial" w:cs="Arial"/>
          <w:b/>
          <w:sz w:val="22"/>
          <w:szCs w:val="22"/>
        </w:rPr>
      </w:pPr>
      <w:r w:rsidRPr="00E84C05">
        <w:rPr>
          <w:rStyle w:val="Strong"/>
          <w:rFonts w:ascii="Arial" w:hAnsi="Arial" w:cs="Arial"/>
          <w:b/>
          <w:sz w:val="22"/>
          <w:szCs w:val="22"/>
        </w:rPr>
        <w:t xml:space="preserve">the Reactivity of the Case-Control Plasma Panel from the </w:t>
      </w:r>
    </w:p>
    <w:p w:rsidR="005072FC" w:rsidRPr="00E84C05" w:rsidRDefault="005072FC" w:rsidP="005072FC">
      <w:pPr>
        <w:pStyle w:val="Heading1"/>
        <w:spacing w:before="0" w:line="480" w:lineRule="auto"/>
        <w:jc w:val="center"/>
        <w:rPr>
          <w:rStyle w:val="Strong"/>
          <w:rFonts w:ascii="Arial" w:hAnsi="Arial" w:cs="Arial"/>
          <w:b/>
          <w:sz w:val="22"/>
          <w:szCs w:val="22"/>
        </w:rPr>
      </w:pPr>
      <w:r w:rsidRPr="00E84C05">
        <w:rPr>
          <w:rStyle w:val="Strong"/>
          <w:rFonts w:ascii="Arial" w:hAnsi="Arial" w:cs="Arial"/>
          <w:b/>
          <w:sz w:val="22"/>
          <w:szCs w:val="22"/>
        </w:rPr>
        <w:t>RV144 Clinical HIV-1 Vaccine Trial with V1V2-scaffold Antigens</w:t>
      </w:r>
    </w:p>
    <w:p w:rsidR="005072FC" w:rsidRDefault="005072FC" w:rsidP="00813E2C">
      <w:pPr>
        <w:spacing w:after="0" w:line="480" w:lineRule="auto"/>
        <w:jc w:val="center"/>
        <w:rPr>
          <w:rFonts w:ascii="Arial" w:hAnsi="Arial" w:cs="Arial"/>
          <w:b/>
        </w:rPr>
      </w:pPr>
    </w:p>
    <w:p w:rsidR="00AC67DF" w:rsidRPr="008418AA" w:rsidRDefault="00CB3B81" w:rsidP="00813E2C">
      <w:pPr>
        <w:spacing w:after="0" w:line="480" w:lineRule="auto"/>
        <w:jc w:val="center"/>
        <w:rPr>
          <w:rFonts w:ascii="Arial" w:hAnsi="Arial" w:cs="Arial"/>
        </w:rPr>
      </w:pPr>
      <w:r w:rsidRPr="008418AA">
        <w:rPr>
          <w:rFonts w:ascii="Arial" w:hAnsi="Arial" w:cs="Arial"/>
        </w:rPr>
        <w:t>Supplementa</w:t>
      </w:r>
      <w:r w:rsidR="002D74BC" w:rsidRPr="008418AA">
        <w:rPr>
          <w:rFonts w:ascii="Arial" w:hAnsi="Arial" w:cs="Arial"/>
        </w:rPr>
        <w:t>ry Appendix</w:t>
      </w:r>
      <w:r w:rsidR="00E84C05" w:rsidRPr="008418AA">
        <w:rPr>
          <w:rFonts w:ascii="Arial" w:hAnsi="Arial" w:cs="Arial"/>
        </w:rPr>
        <w:t xml:space="preserve"> </w:t>
      </w:r>
      <w:r w:rsidR="005072FC" w:rsidRPr="008418AA">
        <w:rPr>
          <w:rFonts w:ascii="Arial" w:hAnsi="Arial" w:cs="Arial"/>
        </w:rPr>
        <w:t>to</w:t>
      </w:r>
      <w:r w:rsidR="00E84C05" w:rsidRPr="008418AA">
        <w:rPr>
          <w:rFonts w:ascii="Arial" w:hAnsi="Arial" w:cs="Arial"/>
        </w:rPr>
        <w:t>:</w:t>
      </w:r>
    </w:p>
    <w:p w:rsidR="00FD7F96" w:rsidRPr="00E84C05" w:rsidRDefault="00FD7F96" w:rsidP="00FD7F96">
      <w:pPr>
        <w:spacing w:line="480" w:lineRule="auto"/>
        <w:jc w:val="center"/>
        <w:rPr>
          <w:rFonts w:ascii="Arial" w:hAnsi="Arial" w:cs="Arial"/>
          <w:b/>
          <w:caps/>
        </w:rPr>
      </w:pPr>
      <w:r w:rsidRPr="00E84C05">
        <w:rPr>
          <w:rFonts w:ascii="Arial" w:hAnsi="Arial" w:cs="Arial"/>
          <w:b/>
          <w:caps/>
        </w:rPr>
        <w:t>Vaccine-induced I</w:t>
      </w:r>
      <w:r w:rsidR="00E84C05" w:rsidRPr="00E84C05">
        <w:rPr>
          <w:rFonts w:ascii="Arial" w:hAnsi="Arial" w:cs="Arial"/>
          <w:b/>
        </w:rPr>
        <w:t>g</w:t>
      </w:r>
      <w:r w:rsidRPr="00E84C05">
        <w:rPr>
          <w:rFonts w:ascii="Arial" w:hAnsi="Arial" w:cs="Arial"/>
          <w:b/>
          <w:caps/>
        </w:rPr>
        <w:t>G Antibodies to V1V2 Regions of Multiple HIV-1 Subtypes</w:t>
      </w:r>
    </w:p>
    <w:p w:rsidR="00FD7F96" w:rsidRPr="00457D03" w:rsidRDefault="00FD7F96" w:rsidP="00FD7F96">
      <w:pPr>
        <w:spacing w:line="480" w:lineRule="auto"/>
        <w:jc w:val="center"/>
        <w:rPr>
          <w:rFonts w:ascii="Arial" w:hAnsi="Arial" w:cs="Arial"/>
          <w:b/>
        </w:rPr>
      </w:pPr>
      <w:r w:rsidRPr="00E84C05">
        <w:rPr>
          <w:rFonts w:ascii="Arial" w:hAnsi="Arial" w:cs="Arial"/>
          <w:b/>
          <w:caps/>
        </w:rPr>
        <w:t>Correlate with Decreased Risk of HIV-1 Infectio</w:t>
      </w:r>
      <w:r w:rsidR="00983A69">
        <w:rPr>
          <w:rFonts w:ascii="Arial" w:hAnsi="Arial" w:cs="Arial"/>
          <w:b/>
          <w:caps/>
        </w:rPr>
        <w:t>N</w:t>
      </w:r>
    </w:p>
    <w:p w:rsidR="00FD7F96" w:rsidRDefault="00FD7F96" w:rsidP="00FD7F96">
      <w:pPr>
        <w:spacing w:after="0" w:line="480" w:lineRule="auto"/>
        <w:jc w:val="both"/>
        <w:rPr>
          <w:rFonts w:ascii="Arial" w:hAnsi="Arial" w:cs="Arial"/>
        </w:rPr>
      </w:pPr>
      <w:r w:rsidRPr="00BC7430">
        <w:rPr>
          <w:rFonts w:ascii="Arial" w:hAnsi="Arial" w:cs="Arial"/>
        </w:rPr>
        <w:t>Susan Zolla-Pazner</w:t>
      </w:r>
      <w:r w:rsidRPr="00BC7430">
        <w:rPr>
          <w:rFonts w:ascii="Arial" w:hAnsi="Arial" w:cs="Arial"/>
          <w:vertAlign w:val="superscript"/>
        </w:rPr>
        <w:t>1,2</w:t>
      </w:r>
      <w:r w:rsidRPr="00BC74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Allan deCamp</w:t>
      </w:r>
      <w:r w:rsidRPr="00296FF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</w:t>
      </w:r>
      <w:r w:rsidRPr="00BC7430">
        <w:rPr>
          <w:rFonts w:ascii="Arial" w:hAnsi="Arial" w:cs="Arial"/>
        </w:rPr>
        <w:t xml:space="preserve">Peter </w:t>
      </w:r>
      <w:r>
        <w:rPr>
          <w:rFonts w:ascii="Arial" w:hAnsi="Arial" w:cs="Arial"/>
        </w:rPr>
        <w:t>B</w:t>
      </w:r>
      <w:r w:rsidRPr="00BC7430">
        <w:rPr>
          <w:rFonts w:ascii="Arial" w:hAnsi="Arial" w:cs="Arial"/>
        </w:rPr>
        <w:t>. Gilbert</w:t>
      </w:r>
      <w:r w:rsidRPr="00BC7430">
        <w:rPr>
          <w:rFonts w:ascii="Arial" w:hAnsi="Arial" w:cs="Arial"/>
          <w:vertAlign w:val="superscript"/>
        </w:rPr>
        <w:t>3</w:t>
      </w:r>
      <w:r w:rsidRPr="00BC7430">
        <w:rPr>
          <w:rFonts w:ascii="Arial" w:hAnsi="Arial" w:cs="Arial"/>
        </w:rPr>
        <w:t xml:space="preserve">, </w:t>
      </w:r>
      <w:r w:rsidRPr="007F4ED3">
        <w:rPr>
          <w:rFonts w:ascii="Arial" w:hAnsi="Arial" w:cs="Arial"/>
        </w:rPr>
        <w:t>Constance Williams</w:t>
      </w:r>
      <w:r w:rsidRPr="007F4ED3">
        <w:rPr>
          <w:rFonts w:ascii="Arial" w:hAnsi="Arial" w:cs="Arial"/>
          <w:vertAlign w:val="superscript"/>
        </w:rPr>
        <w:t>2</w:t>
      </w:r>
      <w:r w:rsidRPr="007F4ED3">
        <w:rPr>
          <w:rFonts w:ascii="Arial" w:hAnsi="Arial" w:cs="Arial"/>
        </w:rPr>
        <w:t>, Nicole L Yates</w:t>
      </w:r>
      <w:r w:rsidRPr="007F4ED3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</w:rPr>
        <w:t xml:space="preserve"> </w:t>
      </w:r>
      <w:r w:rsidRPr="00A02A6D">
        <w:rPr>
          <w:rFonts w:ascii="Arial" w:hAnsi="Arial" w:cs="Arial"/>
        </w:rPr>
        <w:t xml:space="preserve">William </w:t>
      </w:r>
      <w:r>
        <w:rPr>
          <w:rFonts w:ascii="Arial" w:hAnsi="Arial" w:cs="Arial"/>
        </w:rPr>
        <w:t xml:space="preserve">T. </w:t>
      </w:r>
      <w:r w:rsidRPr="00A02A6D">
        <w:rPr>
          <w:rFonts w:ascii="Arial" w:hAnsi="Arial" w:cs="Arial"/>
        </w:rPr>
        <w:t>Williams</w:t>
      </w:r>
      <w:r w:rsidRPr="00A02A6D">
        <w:rPr>
          <w:rFonts w:ascii="Arial" w:hAnsi="Arial" w:cs="Arial"/>
          <w:vertAlign w:val="superscript"/>
        </w:rPr>
        <w:t>4</w:t>
      </w:r>
      <w:r w:rsidRPr="00A02A6D">
        <w:rPr>
          <w:rFonts w:ascii="Arial" w:hAnsi="Arial" w:cs="Arial"/>
        </w:rPr>
        <w:t>, Robert Howington</w:t>
      </w:r>
      <w:r w:rsidRPr="00A02A6D">
        <w:rPr>
          <w:rFonts w:ascii="Arial" w:hAnsi="Arial" w:cs="Arial"/>
          <w:vertAlign w:val="superscript"/>
        </w:rPr>
        <w:t>4</w:t>
      </w:r>
      <w:r w:rsidRPr="00A02A6D">
        <w:rPr>
          <w:rFonts w:ascii="Arial" w:hAnsi="Arial" w:cs="Arial"/>
        </w:rPr>
        <w:t>, Youyi Fong</w:t>
      </w:r>
      <w:r w:rsidRPr="00A02A6D">
        <w:rPr>
          <w:rFonts w:ascii="Arial" w:hAnsi="Arial" w:cs="Arial"/>
          <w:vertAlign w:val="superscript"/>
        </w:rPr>
        <w:t>3</w:t>
      </w:r>
      <w:r w:rsidRPr="00A02A6D">
        <w:rPr>
          <w:rFonts w:ascii="Arial" w:hAnsi="Arial" w:cs="Arial"/>
        </w:rPr>
        <w:t>, Daryl E. Morris</w:t>
      </w:r>
      <w:r w:rsidRPr="00A02A6D">
        <w:rPr>
          <w:rFonts w:ascii="Arial" w:hAnsi="Arial" w:cs="Arial"/>
          <w:vertAlign w:val="superscript"/>
        </w:rPr>
        <w:t>3</w:t>
      </w:r>
      <w:r w:rsidRPr="00A02A6D">
        <w:rPr>
          <w:rFonts w:ascii="Arial" w:hAnsi="Arial" w:cs="Arial"/>
        </w:rPr>
        <w:t>, Kelly A. Soderberg</w:t>
      </w:r>
      <w:r w:rsidRPr="00A02A6D">
        <w:rPr>
          <w:rFonts w:ascii="Arial" w:hAnsi="Arial" w:cs="Arial"/>
          <w:vertAlign w:val="superscript"/>
        </w:rPr>
        <w:t>4</w:t>
      </w:r>
      <w:r w:rsidRPr="00A02A6D">
        <w:rPr>
          <w:rFonts w:ascii="Arial" w:hAnsi="Arial" w:cs="Arial"/>
        </w:rPr>
        <w:t>, Carmela Irene</w:t>
      </w:r>
      <w:r w:rsidRPr="00A02A6D">
        <w:rPr>
          <w:rFonts w:ascii="Arial" w:hAnsi="Arial" w:cs="Arial"/>
          <w:vertAlign w:val="superscript"/>
        </w:rPr>
        <w:t>5</w:t>
      </w:r>
      <w:r w:rsidRPr="00A02A6D">
        <w:rPr>
          <w:rFonts w:ascii="Arial" w:hAnsi="Arial" w:cs="Arial"/>
        </w:rPr>
        <w:t>, Charles Reichman</w:t>
      </w:r>
      <w:r w:rsidRPr="00A02A6D">
        <w:rPr>
          <w:rFonts w:ascii="Arial" w:hAnsi="Arial" w:cs="Arial"/>
          <w:vertAlign w:val="superscript"/>
        </w:rPr>
        <w:t>5</w:t>
      </w:r>
      <w:r w:rsidRPr="00A02A6D">
        <w:rPr>
          <w:rFonts w:ascii="Arial" w:hAnsi="Arial" w:cs="Arial"/>
        </w:rPr>
        <w:t>,</w:t>
      </w:r>
      <w:r>
        <w:t xml:space="preserve"> </w:t>
      </w:r>
      <w:r w:rsidRPr="00BC7430">
        <w:rPr>
          <w:rFonts w:ascii="Arial" w:hAnsi="Arial" w:cs="Arial"/>
        </w:rPr>
        <w:t>Abraham Pinter</w:t>
      </w:r>
      <w:r w:rsidRPr="00BC7430">
        <w:rPr>
          <w:rFonts w:ascii="Arial" w:hAnsi="Arial" w:cs="Arial"/>
          <w:vertAlign w:val="superscript"/>
        </w:rPr>
        <w:t>5</w:t>
      </w:r>
      <w:r w:rsidRPr="00BC7430">
        <w:rPr>
          <w:rFonts w:ascii="Arial" w:hAnsi="Arial" w:cs="Arial"/>
        </w:rPr>
        <w:t>, Robert Parks</w:t>
      </w:r>
      <w:r w:rsidRPr="00BC7430">
        <w:rPr>
          <w:rFonts w:ascii="Arial" w:hAnsi="Arial" w:cs="Arial"/>
          <w:vertAlign w:val="superscript"/>
        </w:rPr>
        <w:t>4</w:t>
      </w:r>
      <w:r w:rsidRPr="00BC74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Punnee Pitisuttithum</w:t>
      </w:r>
      <w:r w:rsidRPr="00AE75BE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, Jaranit Kaewkungwal</w:t>
      </w:r>
      <w:r>
        <w:rPr>
          <w:rFonts w:ascii="Arial" w:hAnsi="Arial" w:cs="Arial"/>
          <w:vertAlign w:val="superscript"/>
        </w:rPr>
        <w:t>6</w:t>
      </w:r>
      <w:r w:rsidRPr="00AE75BE"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 xml:space="preserve"> </w:t>
      </w:r>
      <w:r w:rsidRPr="00BC7430">
        <w:rPr>
          <w:rFonts w:ascii="Arial" w:hAnsi="Arial" w:cs="Arial"/>
        </w:rPr>
        <w:t>Supachai Rerks-Ngarm</w:t>
      </w:r>
      <w:r w:rsidRPr="00BC7430">
        <w:rPr>
          <w:rFonts w:ascii="Arial" w:hAnsi="Arial" w:cs="Arial"/>
          <w:vertAlign w:val="superscript"/>
        </w:rPr>
        <w:t>7</w:t>
      </w:r>
      <w:r w:rsidRPr="00BC7430">
        <w:rPr>
          <w:rFonts w:ascii="Arial" w:hAnsi="Arial" w:cs="Arial"/>
        </w:rPr>
        <w:t>, Sorachai Nitayaphan</w:t>
      </w:r>
      <w:r w:rsidRPr="00BC7430">
        <w:rPr>
          <w:rFonts w:ascii="Arial" w:hAnsi="Arial" w:cs="Arial"/>
          <w:vertAlign w:val="superscript"/>
        </w:rPr>
        <w:t>8</w:t>
      </w:r>
      <w:r w:rsidRPr="00BC74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Charla Andrews</w:t>
      </w:r>
      <w:r w:rsidRPr="00BF0D94"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 xml:space="preserve">, </w:t>
      </w:r>
      <w:r w:rsidRPr="00BF0D94">
        <w:rPr>
          <w:rFonts w:ascii="Arial" w:hAnsi="Arial" w:cs="Arial"/>
        </w:rPr>
        <w:t>Robert J O'Connell</w:t>
      </w:r>
      <w:r w:rsidRPr="00BF0D94"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>,</w:t>
      </w:r>
      <w:r w:rsidRPr="00BC7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Zhi-yong Yang</w:t>
      </w:r>
      <w:r w:rsidRPr="00595337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, Gary J. </w:t>
      </w:r>
      <w:r w:rsidRPr="00FD7F96">
        <w:rPr>
          <w:rFonts w:ascii="Arial" w:hAnsi="Arial" w:cs="Arial"/>
        </w:rPr>
        <w:t>Nabel</w:t>
      </w:r>
      <w:r w:rsidRPr="00FD7F96">
        <w:rPr>
          <w:rFonts w:ascii="Arial" w:hAnsi="Arial" w:cs="Arial"/>
          <w:vertAlign w:val="superscript"/>
        </w:rPr>
        <w:t>10§</w:t>
      </w:r>
      <w:r w:rsidRPr="00FD7F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C7430">
        <w:rPr>
          <w:rFonts w:ascii="Arial" w:hAnsi="Arial" w:cs="Arial"/>
        </w:rPr>
        <w:t>Jerome H. Kim</w:t>
      </w:r>
      <w:r w:rsidRPr="00BC7430">
        <w:rPr>
          <w:rFonts w:ascii="Arial" w:hAnsi="Arial" w:cs="Arial"/>
          <w:vertAlign w:val="superscript"/>
        </w:rPr>
        <w:t>9</w:t>
      </w:r>
      <w:r w:rsidRPr="00BC7430">
        <w:rPr>
          <w:rFonts w:ascii="Arial" w:hAnsi="Arial" w:cs="Arial"/>
        </w:rPr>
        <w:t>, Nelson L. Michael</w:t>
      </w:r>
      <w:r w:rsidRPr="00BC7430">
        <w:rPr>
          <w:rFonts w:ascii="Arial" w:hAnsi="Arial" w:cs="Arial"/>
          <w:vertAlign w:val="superscript"/>
        </w:rPr>
        <w:t>9</w:t>
      </w:r>
      <w:r w:rsidRPr="00BC7430">
        <w:rPr>
          <w:rFonts w:ascii="Arial" w:hAnsi="Arial" w:cs="Arial"/>
        </w:rPr>
        <w:t>, David C. Montefiori</w:t>
      </w:r>
      <w:r w:rsidRPr="00152D6A">
        <w:rPr>
          <w:rFonts w:ascii="Arial" w:hAnsi="Arial" w:cs="Arial"/>
          <w:vertAlign w:val="superscript"/>
        </w:rPr>
        <w:t>4</w:t>
      </w:r>
      <w:r w:rsidRPr="00BC7430">
        <w:rPr>
          <w:rFonts w:ascii="Arial" w:hAnsi="Arial" w:cs="Arial"/>
        </w:rPr>
        <w:t>,  Hua-Xin Liao</w:t>
      </w:r>
      <w:r w:rsidRPr="00BC7430">
        <w:rPr>
          <w:rFonts w:ascii="Arial" w:hAnsi="Arial" w:cs="Arial"/>
          <w:vertAlign w:val="superscript"/>
        </w:rPr>
        <w:t>4</w:t>
      </w:r>
      <w:r w:rsidRPr="00BC7430">
        <w:rPr>
          <w:rFonts w:ascii="Arial" w:hAnsi="Arial" w:cs="Arial"/>
        </w:rPr>
        <w:t>,  Barton F. Haynes</w:t>
      </w:r>
      <w:r w:rsidRPr="00BC7430">
        <w:rPr>
          <w:rFonts w:ascii="Arial" w:hAnsi="Arial" w:cs="Arial"/>
          <w:vertAlign w:val="superscript"/>
        </w:rPr>
        <w:t>4</w:t>
      </w:r>
      <w:r w:rsidRPr="00BC7430">
        <w:rPr>
          <w:rFonts w:ascii="Arial" w:hAnsi="Arial" w:cs="Arial"/>
        </w:rPr>
        <w:t>, and Georgia D. Tomaras</w:t>
      </w:r>
      <w:r w:rsidRPr="00BC7430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.</w:t>
      </w:r>
    </w:p>
    <w:p w:rsidR="00FD7F96" w:rsidRDefault="00FD7F96" w:rsidP="00FD7F96">
      <w:pPr>
        <w:spacing w:after="0" w:line="480" w:lineRule="auto"/>
        <w:jc w:val="both"/>
        <w:rPr>
          <w:rFonts w:ascii="Arial" w:hAnsi="Arial" w:cs="Arial"/>
        </w:rPr>
      </w:pPr>
    </w:p>
    <w:p w:rsidR="00FD7F96" w:rsidRPr="006A4F99" w:rsidRDefault="00FD7F96" w:rsidP="00FD7F9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BC7430">
        <w:rPr>
          <w:rFonts w:ascii="Arial" w:hAnsi="Arial" w:cs="Arial"/>
          <w:vertAlign w:val="superscript"/>
        </w:rPr>
        <w:t>1</w:t>
      </w:r>
      <w:r w:rsidRPr="00D255F6">
        <w:rPr>
          <w:rFonts w:ascii="Arial" w:eastAsia="Times New Roman" w:hAnsi="Arial" w:cs="Arial"/>
        </w:rPr>
        <w:t>Department of Veterans Affairs New York Harbor Healthcare System</w:t>
      </w:r>
      <w:r>
        <w:rPr>
          <w:rFonts w:ascii="Arial" w:eastAsia="Times New Roman" w:hAnsi="Arial" w:cs="Arial"/>
        </w:rPr>
        <w:t xml:space="preserve">, </w:t>
      </w:r>
      <w:r w:rsidRPr="00BC7430">
        <w:rPr>
          <w:rFonts w:ascii="Arial" w:hAnsi="Arial" w:cs="Arial"/>
          <w:vertAlign w:val="superscript"/>
        </w:rPr>
        <w:t>2</w:t>
      </w:r>
      <w:r w:rsidRPr="00BC7430">
        <w:rPr>
          <w:rFonts w:ascii="Arial" w:hAnsi="Arial" w:cs="Arial"/>
        </w:rPr>
        <w:t xml:space="preserve">NYU </w:t>
      </w:r>
      <w:r>
        <w:rPr>
          <w:rFonts w:ascii="Arial" w:hAnsi="Arial" w:cs="Arial"/>
        </w:rPr>
        <w:t>School of Medicine</w:t>
      </w:r>
      <w:r w:rsidRPr="00BC7430">
        <w:rPr>
          <w:rFonts w:ascii="Arial" w:hAnsi="Arial" w:cs="Arial"/>
        </w:rPr>
        <w:t xml:space="preserve">, New York, NY; </w:t>
      </w:r>
      <w:r w:rsidRPr="00BC7430">
        <w:rPr>
          <w:rFonts w:ascii="Arial" w:hAnsi="Arial" w:cs="Arial"/>
          <w:vertAlign w:val="superscript"/>
        </w:rPr>
        <w:t>3</w:t>
      </w:r>
      <w:r w:rsidRPr="00B75CBF">
        <w:rPr>
          <w:rFonts w:ascii="Arial" w:hAnsi="Arial" w:cs="Arial"/>
        </w:rPr>
        <w:t>Vaccine and Infectious Disease Division</w:t>
      </w:r>
      <w:r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</w:rPr>
        <w:t>Fred H</w:t>
      </w:r>
      <w:r w:rsidRPr="00BC7430">
        <w:rPr>
          <w:rFonts w:ascii="Arial" w:hAnsi="Arial" w:cs="Arial"/>
        </w:rPr>
        <w:t>utchinson Cancer Res</w:t>
      </w:r>
      <w:r>
        <w:rPr>
          <w:rFonts w:ascii="Arial" w:hAnsi="Arial" w:cs="Arial"/>
        </w:rPr>
        <w:t>earch Center</w:t>
      </w:r>
      <w:r w:rsidRPr="00BC7430">
        <w:rPr>
          <w:rFonts w:ascii="Arial" w:hAnsi="Arial" w:cs="Arial"/>
        </w:rPr>
        <w:t xml:space="preserve">, Seattle, WA; </w:t>
      </w:r>
      <w:r w:rsidRPr="00BC7430">
        <w:rPr>
          <w:rFonts w:ascii="Arial" w:hAnsi="Arial" w:cs="Arial"/>
          <w:vertAlign w:val="superscript"/>
        </w:rPr>
        <w:t>4</w:t>
      </w:r>
      <w:r w:rsidRPr="00BC7430">
        <w:rPr>
          <w:rFonts w:ascii="Arial" w:hAnsi="Arial" w:cs="Arial"/>
        </w:rPr>
        <w:t xml:space="preserve">Duke University, Durham, NC; </w:t>
      </w:r>
      <w:r w:rsidRPr="00BC7430">
        <w:rPr>
          <w:rFonts w:ascii="Arial" w:hAnsi="Arial" w:cs="Arial"/>
          <w:vertAlign w:val="superscript"/>
        </w:rPr>
        <w:t>5</w:t>
      </w:r>
      <w:r w:rsidRPr="00BC743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</w:t>
      </w:r>
      <w:r w:rsidRPr="00BC743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</w:t>
      </w:r>
      <w:r w:rsidRPr="00BC7430">
        <w:rPr>
          <w:rFonts w:ascii="Arial" w:hAnsi="Arial" w:cs="Arial"/>
        </w:rPr>
        <w:t>R</w:t>
      </w:r>
      <w:r>
        <w:rPr>
          <w:rFonts w:ascii="Arial" w:hAnsi="Arial" w:cs="Arial"/>
        </w:rPr>
        <w:t>esearch Institute</w:t>
      </w:r>
      <w:r w:rsidRPr="00BC7430">
        <w:rPr>
          <w:rFonts w:ascii="Arial" w:hAnsi="Arial" w:cs="Arial"/>
        </w:rPr>
        <w:t xml:space="preserve">, University of Medicine and Dentistry, Newark, NJ; </w:t>
      </w:r>
      <w:r w:rsidRPr="004223EC">
        <w:rPr>
          <w:rFonts w:ascii="Arial" w:hAnsi="Arial" w:cs="Arial"/>
          <w:vertAlign w:val="superscript"/>
        </w:rPr>
        <w:t>6</w:t>
      </w:r>
      <w:r w:rsidRPr="004223EC">
        <w:rPr>
          <w:rFonts w:ascii="Arial" w:hAnsi="Arial" w:cs="Arial"/>
        </w:rPr>
        <w:t xml:space="preserve">Faculty of Tropical Medicine, Mahidol, Thailand; </w:t>
      </w:r>
      <w:r w:rsidRPr="004223EC">
        <w:rPr>
          <w:rFonts w:ascii="Arial" w:hAnsi="Arial" w:cs="Arial"/>
          <w:vertAlign w:val="superscript"/>
        </w:rPr>
        <w:t>7</w:t>
      </w:r>
      <w:r w:rsidRPr="004223EC">
        <w:rPr>
          <w:rFonts w:ascii="Arial" w:hAnsi="Arial" w:cs="Arial"/>
        </w:rPr>
        <w:t xml:space="preserve">Ministry of Public Health, Thailand; </w:t>
      </w:r>
      <w:r w:rsidRPr="004223EC">
        <w:rPr>
          <w:rFonts w:ascii="Arial" w:hAnsi="Arial" w:cs="Arial"/>
          <w:vertAlign w:val="superscript"/>
        </w:rPr>
        <w:t>8</w:t>
      </w:r>
      <w:r w:rsidRPr="004223EC">
        <w:rPr>
          <w:rFonts w:ascii="Arial" w:hAnsi="Arial" w:cs="Arial"/>
          <w:color w:val="222222"/>
        </w:rPr>
        <w:t>AFRIM</w:t>
      </w:r>
      <w:r w:rsidRPr="00BC7430">
        <w:rPr>
          <w:rFonts w:ascii="Arial" w:hAnsi="Arial" w:cs="Arial"/>
          <w:color w:val="222222"/>
        </w:rPr>
        <w:t xml:space="preserve">S, </w:t>
      </w:r>
      <w:r w:rsidRPr="00BC7430">
        <w:rPr>
          <w:rFonts w:ascii="Arial" w:hAnsi="Arial" w:cs="Arial"/>
        </w:rPr>
        <w:t xml:space="preserve">Bangkok, Thailand; </w:t>
      </w:r>
      <w:r w:rsidRPr="00BC7430">
        <w:rPr>
          <w:rFonts w:ascii="Arial" w:hAnsi="Arial" w:cs="Arial"/>
          <w:vertAlign w:val="superscript"/>
        </w:rPr>
        <w:t>9</w:t>
      </w:r>
      <w:r w:rsidRPr="00BC743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ilitary </w:t>
      </w:r>
      <w:r w:rsidRPr="00BC743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IV </w:t>
      </w:r>
      <w:r w:rsidRPr="00BC743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esearch </w:t>
      </w:r>
      <w:r w:rsidRPr="00BC7430">
        <w:rPr>
          <w:rFonts w:ascii="Arial" w:hAnsi="Arial" w:cs="Arial"/>
        </w:rPr>
        <w:t>P</w:t>
      </w:r>
      <w:r>
        <w:rPr>
          <w:rFonts w:ascii="Arial" w:hAnsi="Arial" w:cs="Arial"/>
        </w:rPr>
        <w:t>rogram</w:t>
      </w:r>
      <w:r w:rsidRPr="00BC7430">
        <w:rPr>
          <w:rFonts w:ascii="Arial" w:hAnsi="Arial" w:cs="Arial"/>
        </w:rPr>
        <w:t>, Walter Reed Army Institute of Research, Silver Spring, MD</w:t>
      </w:r>
      <w:r>
        <w:rPr>
          <w:rFonts w:ascii="Arial" w:hAnsi="Arial" w:cs="Arial"/>
        </w:rPr>
        <w:t xml:space="preserve">; </w:t>
      </w:r>
      <w:r w:rsidRPr="006A4F99">
        <w:rPr>
          <w:rFonts w:ascii="Arial" w:hAnsi="Arial" w:cs="Arial"/>
          <w:vertAlign w:val="superscript"/>
        </w:rPr>
        <w:t>10</w:t>
      </w:r>
      <w:r w:rsidRPr="006A4F99">
        <w:rPr>
          <w:rFonts w:ascii="Arial" w:hAnsi="Arial" w:cs="Arial"/>
        </w:rPr>
        <w:t>Virology Laboratory, Vaccine Research Center, National Institute for Allergy and Infectious Diseases, National Institutes of Health</w:t>
      </w:r>
      <w:r>
        <w:rPr>
          <w:rFonts w:ascii="Arial" w:hAnsi="Arial" w:cs="Arial"/>
        </w:rPr>
        <w:t>, Bethesda, MD</w:t>
      </w:r>
      <w:r w:rsidRPr="006A4F99">
        <w:rPr>
          <w:rFonts w:ascii="Arial" w:hAnsi="Arial" w:cs="Arial"/>
        </w:rPr>
        <w:t>.</w:t>
      </w:r>
    </w:p>
    <w:p w:rsidR="00FD7F96" w:rsidRDefault="00FD7F96" w:rsidP="00FD7F96">
      <w:pPr>
        <w:spacing w:after="0" w:line="480" w:lineRule="auto"/>
        <w:jc w:val="both"/>
        <w:rPr>
          <w:rFonts w:ascii="Arial" w:hAnsi="Arial" w:cs="Arial"/>
        </w:rPr>
      </w:pPr>
      <w:r w:rsidRPr="00BC7430">
        <w:rPr>
          <w:rFonts w:ascii="Arial" w:hAnsi="Arial" w:cs="Arial"/>
        </w:rPr>
        <w:t xml:space="preserve">   </w:t>
      </w:r>
    </w:p>
    <w:p w:rsidR="00FD7F96" w:rsidRPr="006A4F99" w:rsidRDefault="00FD7F96" w:rsidP="00FD7F96">
      <w:pPr>
        <w:rPr>
          <w:rFonts w:ascii="Arial" w:eastAsia="Times New Roman" w:hAnsi="Arial" w:cs="Arial"/>
          <w:color w:val="222222"/>
        </w:rPr>
      </w:pPr>
      <w:r w:rsidRPr="006A4F99">
        <w:rPr>
          <w:rFonts w:ascii="Arial" w:hAnsi="Arial" w:cs="Arial"/>
          <w:vertAlign w:val="superscript"/>
        </w:rPr>
        <w:t>§</w:t>
      </w:r>
      <w:r w:rsidRPr="006A4F99">
        <w:rPr>
          <w:rFonts w:ascii="Arial" w:hAnsi="Arial" w:cs="Arial"/>
        </w:rPr>
        <w:t xml:space="preserve">Current address:  </w:t>
      </w:r>
      <w:r w:rsidRPr="006A4F99">
        <w:rPr>
          <w:rFonts w:ascii="Arial" w:eastAsia="Times New Roman" w:hAnsi="Arial" w:cs="Arial"/>
          <w:color w:val="222222"/>
        </w:rPr>
        <w:t xml:space="preserve">Sanofi Aventis U.S. LLC, 270 Albany St, Cambridge, MA 02139 </w:t>
      </w:r>
    </w:p>
    <w:p w:rsidR="008418AA" w:rsidRDefault="008418AA" w:rsidP="0087211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caps/>
        </w:rPr>
      </w:pPr>
    </w:p>
    <w:p w:rsidR="00B7487E" w:rsidRPr="00813E2C" w:rsidRDefault="00813E2C" w:rsidP="0087211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caps/>
        </w:rPr>
      </w:pPr>
      <w:r w:rsidRPr="00813E2C">
        <w:rPr>
          <w:rFonts w:ascii="Arial" w:eastAsia="Calibri" w:hAnsi="Arial" w:cs="Arial"/>
          <w:b/>
          <w:caps/>
        </w:rPr>
        <w:lastRenderedPageBreak/>
        <w:t>Statistical analyses</w:t>
      </w:r>
      <w:r w:rsidR="00C16FB2" w:rsidRPr="00813E2C">
        <w:rPr>
          <w:rFonts w:ascii="Arial" w:eastAsia="Calibri" w:hAnsi="Arial" w:cs="Arial"/>
          <w:b/>
          <w:caps/>
        </w:rPr>
        <w:t xml:space="preserve">  </w:t>
      </w:r>
    </w:p>
    <w:p w:rsidR="00FC4375" w:rsidRPr="00813E2C" w:rsidRDefault="0001296B" w:rsidP="008721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eastAsia="Calibri" w:hAnsi="Arial" w:cs="Arial"/>
        </w:rPr>
      </w:pPr>
      <w:r w:rsidRPr="00813E2C">
        <w:rPr>
          <w:rFonts w:ascii="Arial" w:eastAsia="Calibri" w:hAnsi="Arial" w:cs="Arial"/>
        </w:rPr>
        <w:t>A primary criterion for down-selecting scaffold antigens to the case-control study was t</w:t>
      </w:r>
      <w:r w:rsidR="00B7487E" w:rsidRPr="00813E2C">
        <w:rPr>
          <w:rFonts w:ascii="Arial" w:eastAsia="Calibri" w:hAnsi="Arial" w:cs="Arial"/>
        </w:rPr>
        <w:t xml:space="preserve">he Spearman </w:t>
      </w:r>
      <w:r w:rsidR="001455AC" w:rsidRPr="00813E2C">
        <w:rPr>
          <w:rFonts w:ascii="Arial" w:eastAsia="Calibri" w:hAnsi="Arial" w:cs="Arial"/>
        </w:rPr>
        <w:t xml:space="preserve">rank </w:t>
      </w:r>
      <w:r w:rsidR="00B7487E" w:rsidRPr="00813E2C">
        <w:rPr>
          <w:rFonts w:ascii="Arial" w:eastAsia="Calibri" w:hAnsi="Arial" w:cs="Arial"/>
        </w:rPr>
        <w:t xml:space="preserve">correlation between </w:t>
      </w:r>
      <w:r w:rsidR="00FC4375" w:rsidRPr="00813E2C">
        <w:rPr>
          <w:rFonts w:ascii="Arial" w:eastAsia="Calibri" w:hAnsi="Arial" w:cs="Arial"/>
        </w:rPr>
        <w:t>W</w:t>
      </w:r>
      <w:r w:rsidR="00B7487E" w:rsidRPr="00813E2C">
        <w:rPr>
          <w:rFonts w:ascii="Arial" w:eastAsia="Calibri" w:hAnsi="Arial" w:cs="Arial"/>
        </w:rPr>
        <w:t xml:space="preserve">eek 26 </w:t>
      </w:r>
      <w:r w:rsidR="00F32423" w:rsidRPr="00813E2C">
        <w:rPr>
          <w:rFonts w:ascii="Arial" w:eastAsia="Calibri" w:hAnsi="Arial" w:cs="Arial"/>
        </w:rPr>
        <w:t xml:space="preserve">vaccine recipient </w:t>
      </w:r>
      <w:r w:rsidR="00B7487E" w:rsidRPr="00813E2C">
        <w:rPr>
          <w:rFonts w:ascii="Arial" w:eastAsia="Calibri" w:hAnsi="Arial" w:cs="Arial"/>
        </w:rPr>
        <w:t>read</w:t>
      </w:r>
      <w:r w:rsidR="00605696">
        <w:rPr>
          <w:rFonts w:ascii="Arial" w:eastAsia="Calibri" w:hAnsi="Arial" w:cs="Arial"/>
        </w:rPr>
        <w:t>-</w:t>
      </w:r>
      <w:r w:rsidR="00B7487E" w:rsidRPr="00813E2C">
        <w:rPr>
          <w:rFonts w:ascii="Arial" w:eastAsia="Calibri" w:hAnsi="Arial" w:cs="Arial"/>
        </w:rPr>
        <w:t xml:space="preserve">outs of the new scaffold antigens and the original V1V2 antigen used for the RV144 correlates analysis </w:t>
      </w:r>
      <w:r w:rsidR="004308AE">
        <w:rPr>
          <w:rFonts w:ascii="Arial" w:eastAsia="Calibri" w:hAnsi="Arial" w:cs="Arial"/>
        </w:rPr>
        <w:fldChar w:fldCharType="begin">
          <w:fldData xml:space="preserve">PEVuZE5vdGU+PENpdGU+PEF1dGhvcj5IYXluZXM8L0F1dGhvcj48WWVhcj4yMDEyPC9ZZWFyPjxS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</w:fldData>
        </w:fldChar>
      </w:r>
      <w:r w:rsidR="00A133BA">
        <w:rPr>
          <w:rFonts w:ascii="Arial" w:eastAsia="Calibri" w:hAnsi="Arial" w:cs="Arial"/>
        </w:rPr>
        <w:instrText xml:space="preserve"> ADDIN EN.CITE </w:instrText>
      </w:r>
      <w:r w:rsidR="004308AE">
        <w:rPr>
          <w:rFonts w:ascii="Arial" w:eastAsia="Calibri" w:hAnsi="Arial" w:cs="Arial"/>
        </w:rPr>
        <w:fldChar w:fldCharType="begin">
          <w:fldData xml:space="preserve">PEVuZE5vdGU+PENpdGU+PEF1dGhvcj5IYXluZXM8L0F1dGhvcj48WWVhcj4yMDEyPC9ZZWFyPjxS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</w:fldData>
        </w:fldChar>
      </w:r>
      <w:r w:rsidR="00A133BA">
        <w:rPr>
          <w:rFonts w:ascii="Arial" w:eastAsia="Calibri" w:hAnsi="Arial" w:cs="Arial"/>
        </w:rPr>
        <w:instrText xml:space="preserve"> ADDIN EN.CITE.DATA </w:instrText>
      </w:r>
      <w:r w:rsidR="004308AE">
        <w:rPr>
          <w:rFonts w:ascii="Arial" w:eastAsia="Calibri" w:hAnsi="Arial" w:cs="Arial"/>
        </w:rPr>
      </w:r>
      <w:r w:rsidR="004308AE">
        <w:rPr>
          <w:rFonts w:ascii="Arial" w:eastAsia="Calibri" w:hAnsi="Arial" w:cs="Arial"/>
        </w:rPr>
        <w:fldChar w:fldCharType="end"/>
      </w:r>
      <w:r w:rsidR="004308AE">
        <w:rPr>
          <w:rFonts w:ascii="Arial" w:eastAsia="Calibri" w:hAnsi="Arial" w:cs="Arial"/>
        </w:rPr>
      </w:r>
      <w:r w:rsidR="004308AE">
        <w:rPr>
          <w:rFonts w:ascii="Arial" w:eastAsia="Calibri" w:hAnsi="Arial" w:cs="Arial"/>
        </w:rPr>
        <w:fldChar w:fldCharType="separate"/>
      </w:r>
      <w:r w:rsidR="00A133BA">
        <w:rPr>
          <w:rFonts w:ascii="Arial" w:eastAsia="Calibri" w:hAnsi="Arial" w:cs="Arial"/>
          <w:noProof/>
        </w:rPr>
        <w:t>[</w:t>
      </w:r>
      <w:hyperlink w:anchor="_ENREF_1" w:tooltip="Haynes, 2012 #4654" w:history="1">
        <w:r w:rsidR="00E22E23">
          <w:rPr>
            <w:rFonts w:ascii="Arial" w:eastAsia="Calibri" w:hAnsi="Arial" w:cs="Arial"/>
            <w:noProof/>
          </w:rPr>
          <w:t>1</w:t>
        </w:r>
      </w:hyperlink>
      <w:r w:rsidR="00A133BA">
        <w:rPr>
          <w:rFonts w:ascii="Arial" w:eastAsia="Calibri" w:hAnsi="Arial" w:cs="Arial"/>
          <w:noProof/>
        </w:rPr>
        <w:t>]</w:t>
      </w:r>
      <w:r w:rsidR="004308AE">
        <w:rPr>
          <w:rFonts w:ascii="Arial" w:eastAsia="Calibri" w:hAnsi="Arial" w:cs="Arial"/>
        </w:rPr>
        <w:fldChar w:fldCharType="end"/>
      </w:r>
      <w:r w:rsidR="009D0E28" w:rsidRPr="00813E2C">
        <w:rPr>
          <w:rFonts w:ascii="Arial" w:eastAsia="Calibri" w:hAnsi="Arial" w:cs="Arial"/>
        </w:rPr>
        <w:t xml:space="preserve">.  </w:t>
      </w:r>
      <w:r w:rsidR="00D06B14" w:rsidRPr="00813E2C">
        <w:rPr>
          <w:rFonts w:ascii="Arial" w:eastAsia="Calibri" w:hAnsi="Arial" w:cs="Arial"/>
        </w:rPr>
        <w:t xml:space="preserve">  </w:t>
      </w:r>
      <w:r w:rsidR="00B7487E" w:rsidRPr="00813E2C">
        <w:rPr>
          <w:rFonts w:ascii="Arial" w:eastAsia="Calibri" w:hAnsi="Arial" w:cs="Arial"/>
        </w:rPr>
        <w:t xml:space="preserve">Antigens highly correlated with the original antigen would </w:t>
      </w:r>
      <w:r w:rsidR="001455AC" w:rsidRPr="00813E2C">
        <w:rPr>
          <w:rFonts w:ascii="Arial" w:eastAsia="Calibri" w:hAnsi="Arial" w:cs="Arial"/>
        </w:rPr>
        <w:t>be unlikely to</w:t>
      </w:r>
      <w:r w:rsidR="00B7487E" w:rsidRPr="00813E2C">
        <w:rPr>
          <w:rFonts w:ascii="Arial" w:eastAsia="Calibri" w:hAnsi="Arial" w:cs="Arial"/>
        </w:rPr>
        <w:t xml:space="preserve"> result in meaningful differences in </w:t>
      </w:r>
      <w:r w:rsidR="00FC099B" w:rsidRPr="00813E2C">
        <w:rPr>
          <w:rFonts w:ascii="Arial" w:eastAsia="Calibri" w:hAnsi="Arial" w:cs="Arial"/>
        </w:rPr>
        <w:t xml:space="preserve">a repeated </w:t>
      </w:r>
      <w:r w:rsidRPr="00813E2C">
        <w:rPr>
          <w:rFonts w:ascii="Arial" w:eastAsia="Calibri" w:hAnsi="Arial" w:cs="Arial"/>
        </w:rPr>
        <w:t xml:space="preserve">correlates </w:t>
      </w:r>
      <w:r w:rsidR="00FC099B" w:rsidRPr="00813E2C">
        <w:rPr>
          <w:rFonts w:ascii="Arial" w:eastAsia="Calibri" w:hAnsi="Arial" w:cs="Arial"/>
        </w:rPr>
        <w:t xml:space="preserve">analysis. </w:t>
      </w:r>
      <w:r w:rsidR="001455AC" w:rsidRPr="00813E2C">
        <w:rPr>
          <w:rFonts w:ascii="Arial" w:eastAsia="Calibri" w:hAnsi="Arial" w:cs="Arial"/>
        </w:rPr>
        <w:t xml:space="preserve">Nevertheless, we selected </w:t>
      </w:r>
      <w:r w:rsidR="00FC099B" w:rsidRPr="00813E2C">
        <w:rPr>
          <w:rFonts w:ascii="Arial" w:eastAsia="Calibri" w:hAnsi="Arial" w:cs="Arial"/>
        </w:rPr>
        <w:t xml:space="preserve">some </w:t>
      </w:r>
      <w:r w:rsidR="00B7487E" w:rsidRPr="00813E2C">
        <w:rPr>
          <w:rFonts w:ascii="Arial" w:eastAsia="Calibri" w:hAnsi="Arial" w:cs="Arial"/>
        </w:rPr>
        <w:t xml:space="preserve">antigens that were </w:t>
      </w:r>
      <w:r w:rsidR="00FC099B" w:rsidRPr="00813E2C">
        <w:rPr>
          <w:rFonts w:ascii="Arial" w:eastAsia="Calibri" w:hAnsi="Arial" w:cs="Arial"/>
        </w:rPr>
        <w:t xml:space="preserve">highly correlated with the original antigen </w:t>
      </w:r>
      <w:r w:rsidR="00B7487E" w:rsidRPr="00813E2C">
        <w:rPr>
          <w:rFonts w:ascii="Arial" w:eastAsia="Calibri" w:hAnsi="Arial" w:cs="Arial"/>
        </w:rPr>
        <w:t xml:space="preserve">in order to </w:t>
      </w:r>
      <w:r w:rsidR="001455AC" w:rsidRPr="00813E2C">
        <w:rPr>
          <w:rFonts w:ascii="Arial" w:eastAsia="Calibri" w:hAnsi="Arial" w:cs="Arial"/>
        </w:rPr>
        <w:t xml:space="preserve">definitively </w:t>
      </w:r>
      <w:r w:rsidR="00B7487E" w:rsidRPr="00813E2C">
        <w:rPr>
          <w:rFonts w:ascii="Arial" w:eastAsia="Calibri" w:hAnsi="Arial" w:cs="Arial"/>
        </w:rPr>
        <w:t>replicate the original V1V2 correlate of risk (CoR) result.</w:t>
      </w:r>
      <w:r w:rsidRPr="00813E2C">
        <w:rPr>
          <w:rFonts w:ascii="Arial" w:eastAsia="Calibri" w:hAnsi="Arial" w:cs="Arial"/>
        </w:rPr>
        <w:t xml:space="preserve"> </w:t>
      </w:r>
      <w:r w:rsidR="00B7487E" w:rsidRPr="00813E2C">
        <w:rPr>
          <w:rFonts w:ascii="Arial" w:eastAsia="Calibri" w:hAnsi="Arial" w:cs="Arial"/>
        </w:rPr>
        <w:t xml:space="preserve">Spearman </w:t>
      </w:r>
      <w:r w:rsidR="001455AC" w:rsidRPr="00813E2C">
        <w:rPr>
          <w:rFonts w:ascii="Arial" w:eastAsia="Calibri" w:hAnsi="Arial" w:cs="Arial"/>
        </w:rPr>
        <w:t xml:space="preserve">rank </w:t>
      </w:r>
      <w:r w:rsidR="00B7487E" w:rsidRPr="00813E2C">
        <w:rPr>
          <w:rFonts w:ascii="Arial" w:eastAsia="Calibri" w:hAnsi="Arial" w:cs="Arial"/>
        </w:rPr>
        <w:t xml:space="preserve">correlations between all </w:t>
      </w:r>
      <w:r w:rsidR="001455AC" w:rsidRPr="00813E2C">
        <w:rPr>
          <w:rFonts w:ascii="Arial" w:eastAsia="Calibri" w:hAnsi="Arial" w:cs="Arial"/>
        </w:rPr>
        <w:t xml:space="preserve">pairs of </w:t>
      </w:r>
      <w:r w:rsidR="00B7487E" w:rsidRPr="00813E2C">
        <w:rPr>
          <w:rFonts w:ascii="Arial" w:eastAsia="Calibri" w:hAnsi="Arial" w:cs="Arial"/>
        </w:rPr>
        <w:t xml:space="preserve">antigens were </w:t>
      </w:r>
      <w:r w:rsidR="008872A4" w:rsidRPr="00813E2C">
        <w:rPr>
          <w:rFonts w:ascii="Arial" w:eastAsia="Calibri" w:hAnsi="Arial" w:cs="Arial"/>
        </w:rPr>
        <w:t xml:space="preserve">also </w:t>
      </w:r>
      <w:r w:rsidRPr="00813E2C">
        <w:rPr>
          <w:rFonts w:ascii="Arial" w:eastAsia="Calibri" w:hAnsi="Arial" w:cs="Arial"/>
        </w:rPr>
        <w:t>assessed</w:t>
      </w:r>
      <w:r w:rsidR="00F32423" w:rsidRPr="00813E2C">
        <w:rPr>
          <w:rFonts w:ascii="Arial" w:eastAsia="Calibri" w:hAnsi="Arial" w:cs="Arial"/>
        </w:rPr>
        <w:t xml:space="preserve"> </w:t>
      </w:r>
      <w:r w:rsidRPr="00813E2C">
        <w:rPr>
          <w:rFonts w:ascii="Arial" w:eastAsia="Calibri" w:hAnsi="Arial" w:cs="Arial"/>
        </w:rPr>
        <w:t xml:space="preserve">as a down-selection criterion (with </w:t>
      </w:r>
      <w:r w:rsidR="009D0E28" w:rsidRPr="00813E2C">
        <w:rPr>
          <w:rFonts w:ascii="Arial" w:eastAsia="Calibri" w:hAnsi="Arial" w:cs="Arial"/>
        </w:rPr>
        <w:t xml:space="preserve">the </w:t>
      </w:r>
      <w:r w:rsidRPr="00813E2C">
        <w:rPr>
          <w:rFonts w:ascii="Arial" w:eastAsia="Calibri" w:hAnsi="Arial" w:cs="Arial"/>
        </w:rPr>
        <w:t>purpose to remove</w:t>
      </w:r>
      <w:r w:rsidR="001455AC" w:rsidRPr="00813E2C">
        <w:rPr>
          <w:rFonts w:ascii="Arial" w:eastAsia="Calibri" w:hAnsi="Arial" w:cs="Arial"/>
        </w:rPr>
        <w:t xml:space="preserve"> redundant antigens</w:t>
      </w:r>
      <w:r w:rsidRPr="00813E2C">
        <w:rPr>
          <w:rFonts w:ascii="Arial" w:eastAsia="Calibri" w:hAnsi="Arial" w:cs="Arial"/>
        </w:rPr>
        <w:t xml:space="preserve"> and maximize the diversity of V1V2 responses</w:t>
      </w:r>
      <w:r w:rsidR="001455AC" w:rsidRPr="00813E2C">
        <w:rPr>
          <w:rFonts w:ascii="Arial" w:eastAsia="Calibri" w:hAnsi="Arial" w:cs="Arial"/>
        </w:rPr>
        <w:t>) and for informing multi</w:t>
      </w:r>
      <w:r w:rsidRPr="00813E2C">
        <w:rPr>
          <w:rFonts w:ascii="Arial" w:eastAsia="Calibri" w:hAnsi="Arial" w:cs="Arial"/>
        </w:rPr>
        <w:t xml:space="preserve">variate CoR modeling that </w:t>
      </w:r>
      <w:r w:rsidR="001455AC" w:rsidRPr="00813E2C">
        <w:rPr>
          <w:rFonts w:ascii="Arial" w:eastAsia="Calibri" w:hAnsi="Arial" w:cs="Arial"/>
        </w:rPr>
        <w:t>assess</w:t>
      </w:r>
      <w:r w:rsidRPr="00813E2C">
        <w:rPr>
          <w:rFonts w:ascii="Arial" w:eastAsia="Calibri" w:hAnsi="Arial" w:cs="Arial"/>
        </w:rPr>
        <w:t>es</w:t>
      </w:r>
      <w:r w:rsidR="001455AC" w:rsidRPr="00813E2C">
        <w:rPr>
          <w:rFonts w:ascii="Arial" w:eastAsia="Calibri" w:hAnsi="Arial" w:cs="Arial"/>
        </w:rPr>
        <w:t xml:space="preserve"> multiple scaffold</w:t>
      </w:r>
      <w:r w:rsidRPr="00813E2C">
        <w:rPr>
          <w:rFonts w:ascii="Arial" w:eastAsia="Calibri" w:hAnsi="Arial" w:cs="Arial"/>
        </w:rPr>
        <w:t xml:space="preserve"> antigen</w:t>
      </w:r>
      <w:r w:rsidR="001455AC" w:rsidRPr="00813E2C">
        <w:rPr>
          <w:rFonts w:ascii="Arial" w:eastAsia="Calibri" w:hAnsi="Arial" w:cs="Arial"/>
        </w:rPr>
        <w:t xml:space="preserve">s in the same regression model. </w:t>
      </w:r>
    </w:p>
    <w:p w:rsidR="00FC4375" w:rsidRPr="00813E2C" w:rsidRDefault="00B7487E" w:rsidP="008721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eastAsia="Calibri" w:hAnsi="Arial" w:cs="Arial"/>
        </w:rPr>
      </w:pPr>
      <w:r w:rsidRPr="00813E2C">
        <w:rPr>
          <w:rFonts w:ascii="Arial" w:eastAsia="Calibri" w:hAnsi="Arial" w:cs="Arial"/>
        </w:rPr>
        <w:t>Heat</w:t>
      </w:r>
      <w:r w:rsidR="008872A4" w:rsidRPr="00813E2C">
        <w:rPr>
          <w:rFonts w:ascii="Arial" w:eastAsia="Calibri" w:hAnsi="Arial" w:cs="Arial"/>
        </w:rPr>
        <w:t xml:space="preserve"> </w:t>
      </w:r>
      <w:r w:rsidRPr="00813E2C">
        <w:rPr>
          <w:rFonts w:ascii="Arial" w:eastAsia="Calibri" w:hAnsi="Arial" w:cs="Arial"/>
        </w:rPr>
        <w:t>maps</w:t>
      </w:r>
      <w:r w:rsidR="008872A4" w:rsidRPr="00813E2C">
        <w:rPr>
          <w:rFonts w:ascii="Arial" w:eastAsia="Calibri" w:hAnsi="Arial" w:cs="Arial"/>
        </w:rPr>
        <w:t xml:space="preserve"> were used to graphically display </w:t>
      </w:r>
      <w:r w:rsidR="001455AC" w:rsidRPr="00813E2C">
        <w:rPr>
          <w:rFonts w:ascii="Arial" w:eastAsia="Calibri" w:hAnsi="Arial" w:cs="Arial"/>
        </w:rPr>
        <w:t xml:space="preserve">the Spearman rank </w:t>
      </w:r>
      <w:r w:rsidR="008872A4" w:rsidRPr="00813E2C">
        <w:rPr>
          <w:rFonts w:ascii="Arial" w:eastAsia="Calibri" w:hAnsi="Arial" w:cs="Arial"/>
        </w:rPr>
        <w:t>correlations.  H</w:t>
      </w:r>
      <w:r w:rsidRPr="00813E2C">
        <w:rPr>
          <w:rFonts w:ascii="Arial" w:eastAsia="Calibri" w:hAnsi="Arial" w:cs="Arial"/>
        </w:rPr>
        <w:t xml:space="preserve">ierarchical </w:t>
      </w:r>
      <w:r w:rsidR="00FC099B" w:rsidRPr="00813E2C">
        <w:rPr>
          <w:rFonts w:ascii="Arial" w:eastAsia="Calibri" w:hAnsi="Arial" w:cs="Arial"/>
        </w:rPr>
        <w:t>clustering trees</w:t>
      </w:r>
      <w:r w:rsidRPr="00813E2C">
        <w:rPr>
          <w:rFonts w:ascii="Arial" w:eastAsia="Calibri" w:hAnsi="Arial" w:cs="Arial"/>
        </w:rPr>
        <w:t xml:space="preserve"> using complete linkage based on a distance measure defined as one minus the Spearman </w:t>
      </w:r>
      <w:r w:rsidR="001455AC" w:rsidRPr="00813E2C">
        <w:rPr>
          <w:rFonts w:ascii="Arial" w:eastAsia="Calibri" w:hAnsi="Arial" w:cs="Arial"/>
        </w:rPr>
        <w:t xml:space="preserve">rank </w:t>
      </w:r>
      <w:r w:rsidRPr="00813E2C">
        <w:rPr>
          <w:rFonts w:ascii="Arial" w:eastAsia="Calibri" w:hAnsi="Arial" w:cs="Arial"/>
        </w:rPr>
        <w:t xml:space="preserve">correlation coefficient between </w:t>
      </w:r>
      <w:r w:rsidR="001A2B85">
        <w:rPr>
          <w:rFonts w:ascii="Arial" w:eastAsia="Calibri" w:hAnsi="Arial" w:cs="Arial"/>
        </w:rPr>
        <w:t>W</w:t>
      </w:r>
      <w:r w:rsidRPr="00813E2C">
        <w:rPr>
          <w:rFonts w:ascii="Arial" w:eastAsia="Calibri" w:hAnsi="Arial" w:cs="Arial"/>
        </w:rPr>
        <w:t>eek 26 read</w:t>
      </w:r>
      <w:r w:rsidR="001A2B85">
        <w:rPr>
          <w:rFonts w:ascii="Arial" w:eastAsia="Calibri" w:hAnsi="Arial" w:cs="Arial"/>
        </w:rPr>
        <w:t>-</w:t>
      </w:r>
      <w:r w:rsidRPr="00813E2C">
        <w:rPr>
          <w:rFonts w:ascii="Arial" w:eastAsia="Calibri" w:hAnsi="Arial" w:cs="Arial"/>
        </w:rPr>
        <w:t>outs</w:t>
      </w:r>
      <w:r w:rsidR="008872A4" w:rsidRPr="00813E2C">
        <w:rPr>
          <w:rFonts w:ascii="Arial" w:eastAsia="Calibri" w:hAnsi="Arial" w:cs="Arial"/>
        </w:rPr>
        <w:t xml:space="preserve"> of vaccine </w:t>
      </w:r>
      <w:r w:rsidR="00FC099B" w:rsidRPr="00813E2C">
        <w:rPr>
          <w:rFonts w:ascii="Arial" w:eastAsia="Calibri" w:hAnsi="Arial" w:cs="Arial"/>
        </w:rPr>
        <w:t>recipients</w:t>
      </w:r>
      <w:r w:rsidRPr="00813E2C">
        <w:rPr>
          <w:rFonts w:ascii="Arial" w:eastAsia="Calibri" w:hAnsi="Arial" w:cs="Arial"/>
        </w:rPr>
        <w:t xml:space="preserve"> were used to cluster antigens into common antigenic groups.</w:t>
      </w:r>
      <w:r w:rsidR="008872A4" w:rsidRPr="00813E2C">
        <w:rPr>
          <w:rFonts w:ascii="Arial" w:eastAsia="Calibri" w:hAnsi="Arial" w:cs="Arial"/>
        </w:rPr>
        <w:t xml:space="preserve">   </w:t>
      </w:r>
      <w:r w:rsidRPr="00813E2C">
        <w:rPr>
          <w:rFonts w:ascii="Arial" w:eastAsia="Calibri" w:hAnsi="Arial" w:cs="Arial"/>
        </w:rPr>
        <w:t xml:space="preserve">The </w:t>
      </w:r>
      <w:r w:rsidR="0001296B" w:rsidRPr="00813E2C">
        <w:rPr>
          <w:rFonts w:ascii="Arial" w:eastAsia="Calibri" w:hAnsi="Arial" w:cs="Arial"/>
        </w:rPr>
        <w:t xml:space="preserve">choice of the </w:t>
      </w:r>
      <w:r w:rsidRPr="00813E2C">
        <w:rPr>
          <w:rFonts w:ascii="Arial" w:eastAsia="Calibri" w:hAnsi="Arial" w:cs="Arial"/>
        </w:rPr>
        <w:t xml:space="preserve">number of clusters was </w:t>
      </w:r>
      <w:r w:rsidR="0001296B" w:rsidRPr="00813E2C">
        <w:rPr>
          <w:rFonts w:ascii="Arial" w:eastAsia="Calibri" w:hAnsi="Arial" w:cs="Arial"/>
        </w:rPr>
        <w:t>informed</w:t>
      </w:r>
      <w:r w:rsidRPr="00813E2C">
        <w:rPr>
          <w:rFonts w:ascii="Arial" w:eastAsia="Calibri" w:hAnsi="Arial" w:cs="Arial"/>
        </w:rPr>
        <w:t xml:space="preserve"> by the </w:t>
      </w:r>
      <w:r w:rsidR="008872A4" w:rsidRPr="00813E2C">
        <w:rPr>
          <w:rFonts w:ascii="Arial" w:eastAsia="Calibri" w:hAnsi="Arial" w:cs="Arial"/>
        </w:rPr>
        <w:t xml:space="preserve">target </w:t>
      </w:r>
      <w:r w:rsidRPr="00813E2C">
        <w:rPr>
          <w:rFonts w:ascii="Arial" w:eastAsia="Calibri" w:hAnsi="Arial" w:cs="Arial"/>
        </w:rPr>
        <w:t xml:space="preserve">number of antigens </w:t>
      </w:r>
      <w:r w:rsidR="001455AC" w:rsidRPr="00813E2C">
        <w:rPr>
          <w:rFonts w:ascii="Arial" w:eastAsia="Calibri" w:hAnsi="Arial" w:cs="Arial"/>
        </w:rPr>
        <w:t xml:space="preserve">(6 to </w:t>
      </w:r>
      <w:r w:rsidR="001A2B85">
        <w:rPr>
          <w:rFonts w:ascii="Arial" w:eastAsia="Calibri" w:hAnsi="Arial" w:cs="Arial"/>
        </w:rPr>
        <w:t>10</w:t>
      </w:r>
      <w:r w:rsidR="001455AC" w:rsidRPr="00813E2C">
        <w:rPr>
          <w:rFonts w:ascii="Arial" w:eastAsia="Calibri" w:hAnsi="Arial" w:cs="Arial"/>
        </w:rPr>
        <w:t xml:space="preserve">) </w:t>
      </w:r>
      <w:r w:rsidRPr="00813E2C">
        <w:rPr>
          <w:rFonts w:ascii="Arial" w:eastAsia="Calibri" w:hAnsi="Arial" w:cs="Arial"/>
        </w:rPr>
        <w:t xml:space="preserve">that would </w:t>
      </w:r>
      <w:r w:rsidR="00FC099B" w:rsidRPr="00813E2C">
        <w:rPr>
          <w:rFonts w:ascii="Arial" w:eastAsia="Calibri" w:hAnsi="Arial" w:cs="Arial"/>
        </w:rPr>
        <w:t xml:space="preserve">be </w:t>
      </w:r>
      <w:r w:rsidRPr="00813E2C">
        <w:rPr>
          <w:rFonts w:ascii="Arial" w:eastAsia="Calibri" w:hAnsi="Arial" w:cs="Arial"/>
        </w:rPr>
        <w:t>advance</w:t>
      </w:r>
      <w:r w:rsidR="00FC099B" w:rsidRPr="00813E2C">
        <w:rPr>
          <w:rFonts w:ascii="Arial" w:eastAsia="Calibri" w:hAnsi="Arial" w:cs="Arial"/>
        </w:rPr>
        <w:t>d</w:t>
      </w:r>
      <w:r w:rsidRPr="00813E2C">
        <w:rPr>
          <w:rFonts w:ascii="Arial" w:eastAsia="Calibri" w:hAnsi="Arial" w:cs="Arial"/>
        </w:rPr>
        <w:t xml:space="preserve"> to the next phase</w:t>
      </w:r>
      <w:r w:rsidR="008872A4" w:rsidRPr="00813E2C">
        <w:rPr>
          <w:rFonts w:ascii="Arial" w:eastAsia="Calibri" w:hAnsi="Arial" w:cs="Arial"/>
        </w:rPr>
        <w:t xml:space="preserve"> of the down-selection process</w:t>
      </w:r>
      <w:r w:rsidRPr="00813E2C">
        <w:rPr>
          <w:rFonts w:ascii="Arial" w:eastAsia="Calibri" w:hAnsi="Arial" w:cs="Arial"/>
        </w:rPr>
        <w:t xml:space="preserve">. </w:t>
      </w:r>
      <w:r w:rsidR="008872A4" w:rsidRPr="00813E2C">
        <w:rPr>
          <w:rFonts w:ascii="Arial" w:eastAsia="Calibri" w:hAnsi="Arial" w:cs="Arial"/>
        </w:rPr>
        <w:t xml:space="preserve">  When selecting one or more antigens within a cluster we used the following additional criteria</w:t>
      </w:r>
      <w:r w:rsidR="00F32423" w:rsidRPr="00813E2C">
        <w:rPr>
          <w:rFonts w:ascii="Arial" w:eastAsia="Calibri" w:hAnsi="Arial" w:cs="Arial"/>
        </w:rPr>
        <w:t xml:space="preserve"> for selection: 1) t</w:t>
      </w:r>
      <w:r w:rsidRPr="00813E2C">
        <w:rPr>
          <w:rFonts w:ascii="Arial" w:eastAsia="Calibri" w:hAnsi="Arial" w:cs="Arial"/>
        </w:rPr>
        <w:t>he estimate</w:t>
      </w:r>
      <w:r w:rsidR="00F32423" w:rsidRPr="00813E2C">
        <w:rPr>
          <w:rFonts w:ascii="Arial" w:eastAsia="Calibri" w:hAnsi="Arial" w:cs="Arial"/>
        </w:rPr>
        <w:t xml:space="preserve">d </w:t>
      </w:r>
      <w:r w:rsidR="001A2B85">
        <w:rPr>
          <w:rFonts w:ascii="Arial" w:eastAsia="Calibri" w:hAnsi="Arial" w:cs="Arial"/>
        </w:rPr>
        <w:t>W</w:t>
      </w:r>
      <w:r w:rsidR="00F32423" w:rsidRPr="00813E2C">
        <w:rPr>
          <w:rFonts w:ascii="Arial" w:eastAsia="Calibri" w:hAnsi="Arial" w:cs="Arial"/>
        </w:rPr>
        <w:t xml:space="preserve">eek 26 signal-to-noise ratio defined as </w:t>
      </w:r>
      <w:r w:rsidRPr="00813E2C">
        <w:rPr>
          <w:rFonts w:ascii="Arial" w:eastAsia="Calibri" w:hAnsi="Arial" w:cs="Arial"/>
        </w:rPr>
        <w:t>the standard deviation of the subje</w:t>
      </w:r>
      <w:r w:rsidR="00F32423" w:rsidRPr="00813E2C">
        <w:rPr>
          <w:rFonts w:ascii="Arial" w:eastAsia="Calibri" w:hAnsi="Arial" w:cs="Arial"/>
        </w:rPr>
        <w:t>ct-specific read</w:t>
      </w:r>
      <w:r w:rsidR="001A2B85">
        <w:rPr>
          <w:rFonts w:ascii="Arial" w:eastAsia="Calibri" w:hAnsi="Arial" w:cs="Arial"/>
        </w:rPr>
        <w:t>-</w:t>
      </w:r>
      <w:r w:rsidR="00F32423" w:rsidRPr="00813E2C">
        <w:rPr>
          <w:rFonts w:ascii="Arial" w:eastAsia="Calibri" w:hAnsi="Arial" w:cs="Arial"/>
        </w:rPr>
        <w:t xml:space="preserve">outs divided by </w:t>
      </w:r>
      <w:r w:rsidRPr="00813E2C">
        <w:rPr>
          <w:rFonts w:ascii="Arial" w:eastAsia="Calibri" w:hAnsi="Arial" w:cs="Arial"/>
        </w:rPr>
        <w:t>the mean of the standard deviation of the within</w:t>
      </w:r>
      <w:r w:rsidR="001455AC" w:rsidRPr="00813E2C">
        <w:rPr>
          <w:rFonts w:ascii="Arial" w:eastAsia="Calibri" w:hAnsi="Arial" w:cs="Arial"/>
        </w:rPr>
        <w:t>-</w:t>
      </w:r>
      <w:r w:rsidRPr="00813E2C">
        <w:rPr>
          <w:rFonts w:ascii="Arial" w:eastAsia="Calibri" w:hAnsi="Arial" w:cs="Arial"/>
        </w:rPr>
        <w:t>subject replicates</w:t>
      </w:r>
      <w:r w:rsidR="00F32423" w:rsidRPr="00813E2C">
        <w:rPr>
          <w:rFonts w:ascii="Arial" w:eastAsia="Calibri" w:hAnsi="Arial" w:cs="Arial"/>
        </w:rPr>
        <w:t>; 2) the</w:t>
      </w:r>
      <w:r w:rsidRPr="00813E2C">
        <w:rPr>
          <w:rFonts w:ascii="Arial" w:eastAsia="Calibri" w:hAnsi="Arial" w:cs="Arial"/>
        </w:rPr>
        <w:t xml:space="preserve"> </w:t>
      </w:r>
      <w:r w:rsidR="001A2B85">
        <w:rPr>
          <w:rFonts w:ascii="Arial" w:eastAsia="Calibri" w:hAnsi="Arial" w:cs="Arial"/>
        </w:rPr>
        <w:t>W</w:t>
      </w:r>
      <w:r w:rsidRPr="00813E2C">
        <w:rPr>
          <w:rFonts w:ascii="Arial" w:eastAsia="Calibri" w:hAnsi="Arial" w:cs="Arial"/>
        </w:rPr>
        <w:t>eek 26 positive response rates</w:t>
      </w:r>
      <w:r w:rsidR="00D06B14" w:rsidRPr="00813E2C">
        <w:rPr>
          <w:rFonts w:ascii="Arial" w:eastAsia="Calibri" w:hAnsi="Arial" w:cs="Arial"/>
        </w:rPr>
        <w:t xml:space="preserve"> among vaccine recipi</w:t>
      </w:r>
      <w:r w:rsidR="001455AC" w:rsidRPr="00813E2C">
        <w:rPr>
          <w:rFonts w:ascii="Arial" w:eastAsia="Calibri" w:hAnsi="Arial" w:cs="Arial"/>
        </w:rPr>
        <w:t>e</w:t>
      </w:r>
      <w:r w:rsidR="00D06B14" w:rsidRPr="00813E2C">
        <w:rPr>
          <w:rFonts w:ascii="Arial" w:eastAsia="Calibri" w:hAnsi="Arial" w:cs="Arial"/>
        </w:rPr>
        <w:t>nts</w:t>
      </w:r>
      <w:r w:rsidRPr="00813E2C">
        <w:rPr>
          <w:rFonts w:ascii="Arial" w:eastAsia="Calibri" w:hAnsi="Arial" w:cs="Arial"/>
        </w:rPr>
        <w:t xml:space="preserve">, </w:t>
      </w:r>
      <w:r w:rsidR="00F32423" w:rsidRPr="00813E2C">
        <w:rPr>
          <w:rFonts w:ascii="Arial" w:eastAsia="Calibri" w:hAnsi="Arial" w:cs="Arial"/>
        </w:rPr>
        <w:t>defined using a cutoff of 3 standard de</w:t>
      </w:r>
      <w:r w:rsidR="001A2B85">
        <w:rPr>
          <w:rFonts w:ascii="Arial" w:eastAsia="Calibri" w:hAnsi="Arial" w:cs="Arial"/>
        </w:rPr>
        <w:t>viations above the mean of the W</w:t>
      </w:r>
      <w:r w:rsidR="00F32423" w:rsidRPr="00813E2C">
        <w:rPr>
          <w:rFonts w:ascii="Arial" w:eastAsia="Calibri" w:hAnsi="Arial" w:cs="Arial"/>
        </w:rPr>
        <w:t>eek 0 read</w:t>
      </w:r>
      <w:r w:rsidR="001A2B85">
        <w:rPr>
          <w:rFonts w:ascii="Arial" w:eastAsia="Calibri" w:hAnsi="Arial" w:cs="Arial"/>
        </w:rPr>
        <w:t>-</w:t>
      </w:r>
      <w:r w:rsidR="00F32423" w:rsidRPr="00813E2C">
        <w:rPr>
          <w:rFonts w:ascii="Arial" w:eastAsia="Calibri" w:hAnsi="Arial" w:cs="Arial"/>
        </w:rPr>
        <w:t xml:space="preserve">outs for a given antigen; </w:t>
      </w:r>
      <w:r w:rsidR="00E842E8" w:rsidRPr="00813E2C">
        <w:rPr>
          <w:rFonts w:ascii="Arial" w:eastAsia="Calibri" w:hAnsi="Arial" w:cs="Arial"/>
        </w:rPr>
        <w:t>3) the inter-quartile ranges of each read</w:t>
      </w:r>
      <w:r w:rsidR="00605696">
        <w:rPr>
          <w:rFonts w:ascii="Arial" w:eastAsia="Calibri" w:hAnsi="Arial" w:cs="Arial"/>
        </w:rPr>
        <w:t>-</w:t>
      </w:r>
      <w:r w:rsidR="00E842E8" w:rsidRPr="00813E2C">
        <w:rPr>
          <w:rFonts w:ascii="Arial" w:eastAsia="Calibri" w:hAnsi="Arial" w:cs="Arial"/>
        </w:rPr>
        <w:t>out; and 4</w:t>
      </w:r>
      <w:r w:rsidR="00F32423" w:rsidRPr="00813E2C">
        <w:rPr>
          <w:rFonts w:ascii="Arial" w:eastAsia="Calibri" w:hAnsi="Arial" w:cs="Arial"/>
        </w:rPr>
        <w:t>) the p-value from a Wilcoxon rank sum test comparing the distribution of vaccine and placebo recipient read</w:t>
      </w:r>
      <w:r w:rsidR="001A2B85">
        <w:rPr>
          <w:rFonts w:ascii="Arial" w:eastAsia="Calibri" w:hAnsi="Arial" w:cs="Arial"/>
        </w:rPr>
        <w:t>-</w:t>
      </w:r>
      <w:r w:rsidR="00F32423" w:rsidRPr="00813E2C">
        <w:rPr>
          <w:rFonts w:ascii="Arial" w:eastAsia="Calibri" w:hAnsi="Arial" w:cs="Arial"/>
        </w:rPr>
        <w:t>outs.</w:t>
      </w:r>
      <w:r w:rsidR="00953CB7" w:rsidRPr="00813E2C">
        <w:rPr>
          <w:rFonts w:ascii="Arial" w:hAnsi="Arial" w:cs="Arial"/>
        </w:rPr>
        <w:t xml:space="preserve"> </w:t>
      </w:r>
      <w:r w:rsidR="00953CB7" w:rsidRPr="00813E2C">
        <w:rPr>
          <w:rFonts w:ascii="Arial" w:eastAsia="Calibri" w:hAnsi="Arial" w:cs="Arial"/>
        </w:rPr>
        <w:t xml:space="preserve">In </w:t>
      </w:r>
      <w:r w:rsidR="001455AC" w:rsidRPr="00813E2C">
        <w:rPr>
          <w:rFonts w:ascii="Arial" w:eastAsia="Calibri" w:hAnsi="Arial" w:cs="Arial"/>
        </w:rPr>
        <w:t xml:space="preserve">the </w:t>
      </w:r>
      <w:r w:rsidR="00953CB7" w:rsidRPr="00813E2C">
        <w:rPr>
          <w:rFonts w:ascii="Arial" w:eastAsia="Calibri" w:hAnsi="Arial" w:cs="Arial"/>
        </w:rPr>
        <w:t>Phase 1</w:t>
      </w:r>
      <w:r w:rsidR="001455AC" w:rsidRPr="00813E2C">
        <w:rPr>
          <w:rFonts w:ascii="Arial" w:eastAsia="Calibri" w:hAnsi="Arial" w:cs="Arial"/>
        </w:rPr>
        <w:t xml:space="preserve"> pilot study</w:t>
      </w:r>
      <w:r w:rsidR="00953CB7" w:rsidRPr="00813E2C">
        <w:rPr>
          <w:rFonts w:ascii="Arial" w:eastAsia="Calibri" w:hAnsi="Arial" w:cs="Arial"/>
        </w:rPr>
        <w:t xml:space="preserve">, an antigenic map of the scaffold antigens and </w:t>
      </w:r>
      <w:r w:rsidR="001A2B85">
        <w:rPr>
          <w:rFonts w:ascii="Arial" w:eastAsia="Calibri" w:hAnsi="Arial" w:cs="Arial"/>
        </w:rPr>
        <w:t>W</w:t>
      </w:r>
      <w:r w:rsidR="00953CB7" w:rsidRPr="00813E2C">
        <w:rPr>
          <w:rFonts w:ascii="Arial" w:eastAsia="Calibri" w:hAnsi="Arial" w:cs="Arial"/>
        </w:rPr>
        <w:t>eek 26 plasma samples was</w:t>
      </w:r>
      <w:r w:rsidR="00E842E8" w:rsidRPr="00813E2C">
        <w:rPr>
          <w:rFonts w:ascii="Arial" w:eastAsia="Calibri" w:hAnsi="Arial" w:cs="Arial"/>
        </w:rPr>
        <w:t xml:space="preserve"> </w:t>
      </w:r>
      <w:r w:rsidR="00953CB7" w:rsidRPr="00813E2C">
        <w:rPr>
          <w:rFonts w:ascii="Arial" w:eastAsia="Calibri" w:hAnsi="Arial" w:cs="Arial"/>
        </w:rPr>
        <w:t xml:space="preserve">constructed </w:t>
      </w:r>
      <w:r w:rsidR="00E842E8" w:rsidRPr="00813E2C">
        <w:rPr>
          <w:rFonts w:ascii="Arial" w:eastAsia="Calibri" w:hAnsi="Arial" w:cs="Arial"/>
        </w:rPr>
        <w:t xml:space="preserve">by the method of Multidimensional Scaling (MDS) </w:t>
      </w:r>
      <w:r w:rsidR="00E842E8" w:rsidRPr="00813E2C">
        <w:rPr>
          <w:rFonts w:ascii="Arial" w:hAnsi="Arial" w:cs="Arial"/>
        </w:rPr>
        <w:t xml:space="preserve">using the SMACOF library in R </w:t>
      </w:r>
      <w:r w:rsidR="004308AE">
        <w:rPr>
          <w:rFonts w:ascii="Arial" w:hAnsi="Arial" w:cs="Arial"/>
        </w:rPr>
        <w:fldChar w:fldCharType="begin"/>
      </w:r>
      <w:r w:rsidR="00A133BA">
        <w:rPr>
          <w:rFonts w:ascii="Arial" w:hAnsi="Arial" w:cs="Arial"/>
        </w:rPr>
        <w:instrText xml:space="preserve"> ADDIN EN.CITE &lt;EndNote&gt;&lt;Cite&gt;&lt;Author&gt;De Leeuw&lt;/Author&gt;&lt;Year&gt;2009&lt;/Year&gt;&lt;RecNum&gt;4736&lt;/RecNum&gt;&lt;DisplayText&gt;[2]&lt;/DisplayText&gt;&lt;record&gt;&lt;rec-number&gt;4736&lt;/rec-number&gt;&lt;foreign-keys&gt;&lt;key app="EN" db-id="rrrvfe5dtza099evwd650wtcefseevtf2xwp"&gt;4736&lt;/key&gt;&lt;/foreign-keys&gt;&lt;ref-type name="Journal Article"&gt;17&lt;/ref-type&gt;&lt;contributors&gt;&lt;authors&gt;&lt;author&gt;De Leeuw, Jan&lt;/author&gt;&lt;author&gt;Mair, Patrick&lt;/author&gt;&lt;/authors&gt;&lt;/contributors&gt;&lt;titles&gt;&lt;title&gt;Multidimensional scaling using majorization: SMACOF in R&lt;/title&gt;&lt;secondary-title&gt;Journal of Statistical Software&lt;/secondary-title&gt;&lt;/titles&gt;&lt;periodical&gt;&lt;full-title&gt;Journal of Statistical Software&lt;/full-title&gt;&lt;/periodical&gt;&lt;pages&gt;1-30&lt;/pages&gt;&lt;volume&gt;31&lt;/volume&gt;&lt;number&gt;3&lt;/number&gt;&lt;dates&gt;&lt;year&gt;2009&lt;/year&gt;&lt;/dates&gt;&lt;urls&gt;&lt;/urls&gt;&lt;/record&gt;&lt;/Cite&gt;&lt;/EndNote&gt;</w:instrText>
      </w:r>
      <w:r w:rsidR="004308AE">
        <w:rPr>
          <w:rFonts w:ascii="Arial" w:hAnsi="Arial" w:cs="Arial"/>
        </w:rPr>
        <w:fldChar w:fldCharType="separate"/>
      </w:r>
      <w:r w:rsidR="00A133BA">
        <w:rPr>
          <w:rFonts w:ascii="Arial" w:hAnsi="Arial" w:cs="Arial"/>
          <w:noProof/>
        </w:rPr>
        <w:t>[</w:t>
      </w:r>
      <w:hyperlink w:anchor="_ENREF_2" w:tooltip="De Leeuw, 2009 #4736" w:history="1">
        <w:r w:rsidR="00E22E23">
          <w:rPr>
            <w:rFonts w:ascii="Arial" w:hAnsi="Arial" w:cs="Arial"/>
            <w:noProof/>
          </w:rPr>
          <w:t>2</w:t>
        </w:r>
      </w:hyperlink>
      <w:r w:rsidR="00A133BA">
        <w:rPr>
          <w:rFonts w:ascii="Arial" w:hAnsi="Arial" w:cs="Arial"/>
          <w:noProof/>
        </w:rPr>
        <w:t>]</w:t>
      </w:r>
      <w:r w:rsidR="004308AE">
        <w:rPr>
          <w:rFonts w:ascii="Arial" w:hAnsi="Arial" w:cs="Arial"/>
        </w:rPr>
        <w:fldChar w:fldCharType="end"/>
      </w:r>
      <w:r w:rsidR="00D06B14" w:rsidRPr="00813E2C">
        <w:rPr>
          <w:rFonts w:ascii="Arial" w:hAnsi="Arial" w:cs="Arial"/>
        </w:rPr>
        <w:t xml:space="preserve"> </w:t>
      </w:r>
      <w:r w:rsidR="00D06B14" w:rsidRPr="00813E2C">
        <w:rPr>
          <w:rFonts w:ascii="Arial" w:eastAsia="Calibri" w:hAnsi="Arial" w:cs="Arial"/>
        </w:rPr>
        <w:t>and</w:t>
      </w:r>
      <w:r w:rsidR="00E842E8" w:rsidRPr="00813E2C">
        <w:rPr>
          <w:rFonts w:ascii="Arial" w:eastAsia="Calibri" w:hAnsi="Arial" w:cs="Arial"/>
        </w:rPr>
        <w:t xml:space="preserve"> angles between </w:t>
      </w:r>
      <w:r w:rsidR="00E842E8" w:rsidRPr="00813E2C">
        <w:rPr>
          <w:rFonts w:ascii="Arial" w:eastAsia="Calibri" w:hAnsi="Arial" w:cs="Arial"/>
        </w:rPr>
        <w:lastRenderedPageBreak/>
        <w:t xml:space="preserve">antigens within the map were used </w:t>
      </w:r>
      <w:r w:rsidR="00953CB7" w:rsidRPr="00813E2C">
        <w:rPr>
          <w:rFonts w:ascii="Arial" w:eastAsia="Calibri" w:hAnsi="Arial" w:cs="Arial"/>
        </w:rPr>
        <w:t xml:space="preserve">as an additional selection </w:t>
      </w:r>
      <w:r w:rsidR="00E842E8" w:rsidRPr="00813E2C">
        <w:rPr>
          <w:rFonts w:ascii="Arial" w:eastAsia="Calibri" w:hAnsi="Arial" w:cs="Arial"/>
        </w:rPr>
        <w:t>criterion</w:t>
      </w:r>
      <w:r w:rsidR="00D06B14" w:rsidRPr="00813E2C">
        <w:rPr>
          <w:rFonts w:ascii="Arial" w:eastAsia="Calibri" w:hAnsi="Arial" w:cs="Arial"/>
        </w:rPr>
        <w:t>.  Angles between pairs of antigens were computed u</w:t>
      </w:r>
      <w:r w:rsidR="00953CB7" w:rsidRPr="00813E2C">
        <w:rPr>
          <w:rFonts w:ascii="Arial" w:eastAsia="Calibri" w:hAnsi="Arial" w:cs="Arial"/>
        </w:rPr>
        <w:t>sing the</w:t>
      </w:r>
      <w:r w:rsidR="00E842E8" w:rsidRPr="00813E2C">
        <w:rPr>
          <w:rFonts w:ascii="Arial" w:eastAsia="Calibri" w:hAnsi="Arial" w:cs="Arial"/>
        </w:rPr>
        <w:t xml:space="preserve"> </w:t>
      </w:r>
      <w:r w:rsidR="00953CB7" w:rsidRPr="00813E2C">
        <w:rPr>
          <w:rFonts w:ascii="Arial" w:eastAsia="Calibri" w:hAnsi="Arial" w:cs="Arial"/>
        </w:rPr>
        <w:t>medoid</w:t>
      </w:r>
      <w:r w:rsidR="00D06B14" w:rsidRPr="00813E2C">
        <w:rPr>
          <w:rFonts w:ascii="Arial" w:eastAsia="Calibri" w:hAnsi="Arial" w:cs="Arial"/>
        </w:rPr>
        <w:t xml:space="preserve"> </w:t>
      </w:r>
      <w:r w:rsidR="00953CB7" w:rsidRPr="00813E2C">
        <w:rPr>
          <w:rFonts w:ascii="Arial" w:eastAsia="Calibri" w:hAnsi="Arial" w:cs="Arial"/>
        </w:rPr>
        <w:t>of the mapped plasma coordinates as a vertex</w:t>
      </w:r>
      <w:r w:rsidR="001A2B85">
        <w:rPr>
          <w:rFonts w:ascii="Arial" w:eastAsia="Calibri" w:hAnsi="Arial" w:cs="Arial"/>
        </w:rPr>
        <w:t xml:space="preserve"> </w:t>
      </w:r>
      <w:r w:rsidR="004308AE">
        <w:rPr>
          <w:rFonts w:ascii="Arial" w:eastAsia="Calibri" w:hAnsi="Arial" w:cs="Arial"/>
        </w:rPr>
        <w:fldChar w:fldCharType="begin"/>
      </w:r>
      <w:r w:rsidR="00A133BA">
        <w:rPr>
          <w:rFonts w:ascii="Arial" w:eastAsia="Calibri" w:hAnsi="Arial" w:cs="Arial"/>
        </w:rPr>
        <w:instrText xml:space="preserve"> ADDIN EN.CITE &lt;EndNote&gt;&lt;Cite&gt;&lt;Author&gt;Kaufman&lt;/Author&gt;&lt;Year&gt;1990&lt;/Year&gt;&lt;RecNum&gt;4735&lt;/RecNum&gt;&lt;DisplayText&gt;[3]&lt;/DisplayText&gt;&lt;record&gt;&lt;rec-number&gt;4735&lt;/rec-number&gt;&lt;foreign-keys&gt;&lt;key app="EN" db-id="rrrvfe5dtza099evwd650wtcefseevtf2xwp"&gt;4735&lt;/key&gt;&lt;/foreign-keys&gt;&lt;ref-type name="Book"&gt;6&lt;/ref-type&gt;&lt;contributors&gt;&lt;authors&gt;&lt;author&gt;Kaufman, L.&lt;/author&gt;&lt;author&gt;Rousseeuw, P.J.&lt;/author&gt;&lt;/authors&gt;&lt;/contributors&gt;&lt;titles&gt;&lt;title&gt;Finding groups in data: an introduction to cluster analysis&lt;/title&gt;&lt;/titles&gt;&lt;dates&gt;&lt;year&gt;1990&lt;/year&gt;&lt;/dates&gt;&lt;publisher&gt;Wiley, NY&lt;/publisher&gt;&lt;urls&gt;&lt;/urls&gt;&lt;/record&gt;&lt;/Cite&gt;&lt;/EndNote&gt;</w:instrText>
      </w:r>
      <w:r w:rsidR="004308AE">
        <w:rPr>
          <w:rFonts w:ascii="Arial" w:eastAsia="Calibri" w:hAnsi="Arial" w:cs="Arial"/>
        </w:rPr>
        <w:fldChar w:fldCharType="separate"/>
      </w:r>
      <w:r w:rsidR="00A133BA">
        <w:rPr>
          <w:rFonts w:ascii="Arial" w:eastAsia="Calibri" w:hAnsi="Arial" w:cs="Arial"/>
          <w:noProof/>
        </w:rPr>
        <w:t>[</w:t>
      </w:r>
      <w:hyperlink w:anchor="_ENREF_3" w:tooltip="Kaufman, 1990 #4735" w:history="1">
        <w:r w:rsidR="00E22E23">
          <w:rPr>
            <w:rFonts w:ascii="Arial" w:eastAsia="Calibri" w:hAnsi="Arial" w:cs="Arial"/>
            <w:noProof/>
          </w:rPr>
          <w:t>3</w:t>
        </w:r>
      </w:hyperlink>
      <w:r w:rsidR="00A133BA">
        <w:rPr>
          <w:rFonts w:ascii="Arial" w:eastAsia="Calibri" w:hAnsi="Arial" w:cs="Arial"/>
          <w:noProof/>
        </w:rPr>
        <w:t>]</w:t>
      </w:r>
      <w:r w:rsidR="004308AE">
        <w:rPr>
          <w:rFonts w:ascii="Arial" w:eastAsia="Calibri" w:hAnsi="Arial" w:cs="Arial"/>
        </w:rPr>
        <w:fldChar w:fldCharType="end"/>
      </w:r>
      <w:r w:rsidR="00D06B14" w:rsidRPr="00813E2C">
        <w:rPr>
          <w:rFonts w:ascii="Arial" w:eastAsia="Calibri" w:hAnsi="Arial" w:cs="Arial"/>
        </w:rPr>
        <w:t>.</w:t>
      </w:r>
      <w:r w:rsidR="001455AC" w:rsidRPr="00813E2C">
        <w:rPr>
          <w:rFonts w:ascii="Arial" w:eastAsia="Calibri" w:hAnsi="Arial" w:cs="Arial"/>
        </w:rPr>
        <w:t xml:space="preserve"> </w:t>
      </w:r>
    </w:p>
    <w:p w:rsidR="004D27A5" w:rsidRPr="00813E2C" w:rsidRDefault="00FC099B" w:rsidP="008721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eastAsia="Calibri" w:hAnsi="Arial" w:cs="Arial"/>
          <w:u w:val="single"/>
        </w:rPr>
      </w:pPr>
      <w:r w:rsidRPr="00813E2C">
        <w:rPr>
          <w:rFonts w:ascii="Arial" w:hAnsi="Arial" w:cs="Arial"/>
        </w:rPr>
        <w:t xml:space="preserve">In addition to the individual </w:t>
      </w:r>
      <w:r w:rsidR="00D06B14" w:rsidRPr="00813E2C">
        <w:rPr>
          <w:rFonts w:ascii="Arial" w:hAnsi="Arial" w:cs="Arial"/>
        </w:rPr>
        <w:t>antigen</w:t>
      </w:r>
      <w:r w:rsidRPr="00813E2C">
        <w:rPr>
          <w:rFonts w:ascii="Arial" w:hAnsi="Arial" w:cs="Arial"/>
        </w:rPr>
        <w:t xml:space="preserve"> </w:t>
      </w:r>
      <w:r w:rsidR="00D06B14" w:rsidRPr="00813E2C">
        <w:rPr>
          <w:rFonts w:ascii="Arial" w:hAnsi="Arial" w:cs="Arial"/>
        </w:rPr>
        <w:t>read</w:t>
      </w:r>
      <w:r w:rsidR="001A2B85">
        <w:rPr>
          <w:rFonts w:ascii="Arial" w:hAnsi="Arial" w:cs="Arial"/>
        </w:rPr>
        <w:t>-</w:t>
      </w:r>
      <w:r w:rsidR="00D06B14" w:rsidRPr="00813E2C">
        <w:rPr>
          <w:rFonts w:ascii="Arial" w:hAnsi="Arial" w:cs="Arial"/>
        </w:rPr>
        <w:t>outs,</w:t>
      </w:r>
      <w:r w:rsidRPr="00813E2C">
        <w:rPr>
          <w:rFonts w:ascii="Arial" w:hAnsi="Arial" w:cs="Arial"/>
        </w:rPr>
        <w:t xml:space="preserve"> f</w:t>
      </w:r>
      <w:r w:rsidR="004D27A5" w:rsidRPr="00813E2C">
        <w:rPr>
          <w:rFonts w:ascii="Arial" w:hAnsi="Arial" w:cs="Arial"/>
        </w:rPr>
        <w:t>our immune score variables</w:t>
      </w:r>
      <w:r w:rsidRPr="00813E2C">
        <w:rPr>
          <w:rFonts w:ascii="Arial" w:hAnsi="Arial" w:cs="Arial"/>
        </w:rPr>
        <w:t xml:space="preserve"> measuring cross-reactivity</w:t>
      </w:r>
      <w:r w:rsidR="004D27A5" w:rsidRPr="00813E2C">
        <w:rPr>
          <w:rFonts w:ascii="Arial" w:hAnsi="Arial" w:cs="Arial"/>
        </w:rPr>
        <w:t>, three categorical and one quantitative, were assessed as CoRs for both ELISA and BAM</w:t>
      </w:r>
      <w:r w:rsidR="006C5B8B">
        <w:rPr>
          <w:rFonts w:ascii="Arial" w:hAnsi="Arial" w:cs="Arial"/>
        </w:rPr>
        <w:t>A</w:t>
      </w:r>
      <w:r w:rsidR="004D27A5" w:rsidRPr="00813E2C">
        <w:rPr>
          <w:rFonts w:ascii="Arial" w:hAnsi="Arial" w:cs="Arial"/>
        </w:rPr>
        <w:t>.  Among the six V1V2-scaffold antigens, two were derived from subtype B strains</w:t>
      </w:r>
      <w:r w:rsidR="00152106" w:rsidRPr="00813E2C">
        <w:rPr>
          <w:rFonts w:ascii="Arial" w:hAnsi="Arial" w:cs="Arial"/>
        </w:rPr>
        <w:t xml:space="preserve">, </w:t>
      </w:r>
      <w:r w:rsidR="004D27A5" w:rsidRPr="00813E2C">
        <w:rPr>
          <w:rFonts w:ascii="Arial" w:hAnsi="Arial" w:cs="Arial"/>
        </w:rPr>
        <w:t>two were derived</w:t>
      </w:r>
      <w:r w:rsidR="00152106" w:rsidRPr="00813E2C">
        <w:rPr>
          <w:rFonts w:ascii="Arial" w:hAnsi="Arial" w:cs="Arial"/>
        </w:rPr>
        <w:t xml:space="preserve"> from</w:t>
      </w:r>
      <w:r w:rsidR="004D27A5" w:rsidRPr="00813E2C">
        <w:rPr>
          <w:rFonts w:ascii="Arial" w:hAnsi="Arial" w:cs="Arial"/>
        </w:rPr>
        <w:t xml:space="preserve"> subtype C strains</w:t>
      </w:r>
      <w:r w:rsidR="00152106" w:rsidRPr="00813E2C">
        <w:rPr>
          <w:rFonts w:ascii="Arial" w:hAnsi="Arial" w:cs="Arial"/>
        </w:rPr>
        <w:t>, one was derived from a subtype A strain, and one was derived from a subtype CRF01</w:t>
      </w:r>
      <w:r w:rsidR="001A2B85">
        <w:rPr>
          <w:rFonts w:ascii="Arial" w:hAnsi="Arial" w:cs="Arial"/>
        </w:rPr>
        <w:t>_</w:t>
      </w:r>
      <w:r w:rsidR="00152106" w:rsidRPr="00813E2C">
        <w:rPr>
          <w:rFonts w:ascii="Arial" w:hAnsi="Arial" w:cs="Arial"/>
        </w:rPr>
        <w:t>AE strain</w:t>
      </w:r>
      <w:r w:rsidR="004D27A5" w:rsidRPr="00813E2C">
        <w:rPr>
          <w:rFonts w:ascii="Arial" w:hAnsi="Arial" w:cs="Arial"/>
        </w:rPr>
        <w:t>.  To define the categorical score variables we first set a response threshold at the 33</w:t>
      </w:r>
      <w:r w:rsidR="004D27A5" w:rsidRPr="00813E2C">
        <w:rPr>
          <w:rFonts w:ascii="Arial" w:hAnsi="Arial" w:cs="Arial"/>
          <w:vertAlign w:val="superscript"/>
        </w:rPr>
        <w:t>rd</w:t>
      </w:r>
      <w:r w:rsidR="004D27A5" w:rsidRPr="00813E2C">
        <w:rPr>
          <w:rFonts w:ascii="Arial" w:hAnsi="Arial" w:cs="Arial"/>
        </w:rPr>
        <w:t xml:space="preserve"> (or 50</w:t>
      </w:r>
      <w:r w:rsidR="004D27A5" w:rsidRPr="00813E2C">
        <w:rPr>
          <w:rFonts w:ascii="Arial" w:hAnsi="Arial" w:cs="Arial"/>
          <w:vertAlign w:val="superscript"/>
        </w:rPr>
        <w:t>th</w:t>
      </w:r>
      <w:r w:rsidR="004D27A5" w:rsidRPr="00813E2C">
        <w:rPr>
          <w:rFonts w:ascii="Arial" w:hAnsi="Arial" w:cs="Arial"/>
        </w:rPr>
        <w:t>, or 66</w:t>
      </w:r>
      <w:r w:rsidR="004D27A5" w:rsidRPr="00813E2C">
        <w:rPr>
          <w:rFonts w:ascii="Arial" w:hAnsi="Arial" w:cs="Arial"/>
          <w:vertAlign w:val="superscript"/>
        </w:rPr>
        <w:t>th</w:t>
      </w:r>
      <w:r w:rsidR="004D27A5" w:rsidRPr="00813E2C">
        <w:rPr>
          <w:rFonts w:ascii="Arial" w:hAnsi="Arial" w:cs="Arial"/>
        </w:rPr>
        <w:t xml:space="preserve">) percentile of the vaccine group response.  A count of the number of distinct subtypes </w:t>
      </w:r>
      <w:r w:rsidR="00152106" w:rsidRPr="00813E2C">
        <w:rPr>
          <w:rFonts w:ascii="Arial" w:hAnsi="Arial" w:cs="Arial"/>
        </w:rPr>
        <w:t xml:space="preserve">with a reagent reaction </w:t>
      </w:r>
      <w:r w:rsidR="004D27A5" w:rsidRPr="00813E2C">
        <w:rPr>
          <w:rFonts w:ascii="Arial" w:hAnsi="Arial" w:cs="Arial"/>
        </w:rPr>
        <w:t>above this threshold was computed for each subject</w:t>
      </w:r>
      <w:r w:rsidR="001A2B85">
        <w:rPr>
          <w:rFonts w:ascii="Arial" w:hAnsi="Arial" w:cs="Arial"/>
        </w:rPr>
        <w:t>,</w:t>
      </w:r>
      <w:r w:rsidR="004D27A5" w:rsidRPr="00813E2C">
        <w:rPr>
          <w:rFonts w:ascii="Arial" w:hAnsi="Arial" w:cs="Arial"/>
        </w:rPr>
        <w:t xml:space="preserve"> </w:t>
      </w:r>
      <w:r w:rsidR="00152106" w:rsidRPr="00813E2C">
        <w:rPr>
          <w:rFonts w:ascii="Arial" w:hAnsi="Arial" w:cs="Arial"/>
        </w:rPr>
        <w:t xml:space="preserve">and </w:t>
      </w:r>
      <w:r w:rsidR="004D27A5" w:rsidRPr="00813E2C">
        <w:rPr>
          <w:rFonts w:ascii="Arial" w:hAnsi="Arial" w:cs="Arial"/>
        </w:rPr>
        <w:t>these counts were categorized as Low, Medium and High such that each group had approximately equal numbers</w:t>
      </w:r>
      <w:r w:rsidR="0001296B" w:rsidRPr="00813E2C">
        <w:rPr>
          <w:rFonts w:ascii="Arial" w:hAnsi="Arial" w:cs="Arial"/>
        </w:rPr>
        <w:t xml:space="preserve"> (pooling over cases and controls)</w:t>
      </w:r>
      <w:r w:rsidR="004D27A5" w:rsidRPr="00813E2C">
        <w:rPr>
          <w:rFonts w:ascii="Arial" w:hAnsi="Arial" w:cs="Arial"/>
        </w:rPr>
        <w:t>.  To define the quantitative score variable we summed the scaled (mean zero and standard deviation one) read</w:t>
      </w:r>
      <w:r w:rsidR="00605696">
        <w:rPr>
          <w:rFonts w:ascii="Arial" w:hAnsi="Arial" w:cs="Arial"/>
        </w:rPr>
        <w:t>-</w:t>
      </w:r>
      <w:r w:rsidR="004D27A5" w:rsidRPr="00813E2C">
        <w:rPr>
          <w:rFonts w:ascii="Arial" w:hAnsi="Arial" w:cs="Arial"/>
        </w:rPr>
        <w:t>outs across the four subtypes where the maximum of the two subtype B read</w:t>
      </w:r>
      <w:r w:rsidR="00B37320">
        <w:rPr>
          <w:rFonts w:ascii="Arial" w:hAnsi="Arial" w:cs="Arial"/>
        </w:rPr>
        <w:t>-</w:t>
      </w:r>
      <w:r w:rsidR="004D27A5" w:rsidRPr="00813E2C">
        <w:rPr>
          <w:rFonts w:ascii="Arial" w:hAnsi="Arial" w:cs="Arial"/>
        </w:rPr>
        <w:t>outs, and similarly the two subtype C read</w:t>
      </w:r>
      <w:r w:rsidR="00605696">
        <w:rPr>
          <w:rFonts w:ascii="Arial" w:hAnsi="Arial" w:cs="Arial"/>
        </w:rPr>
        <w:t>-</w:t>
      </w:r>
      <w:r w:rsidR="004D27A5" w:rsidRPr="00813E2C">
        <w:rPr>
          <w:rFonts w:ascii="Arial" w:hAnsi="Arial" w:cs="Arial"/>
        </w:rPr>
        <w:t>outs, was first computed before adding the read</w:t>
      </w:r>
      <w:r w:rsidR="00B37320">
        <w:rPr>
          <w:rFonts w:ascii="Arial" w:hAnsi="Arial" w:cs="Arial"/>
        </w:rPr>
        <w:t>-</w:t>
      </w:r>
      <w:r w:rsidR="004D27A5" w:rsidRPr="00813E2C">
        <w:rPr>
          <w:rFonts w:ascii="Arial" w:hAnsi="Arial" w:cs="Arial"/>
        </w:rPr>
        <w:t>outs of the subtype A and AE antigens.</w:t>
      </w:r>
    </w:p>
    <w:p w:rsidR="004D27A5" w:rsidRPr="00813E2C" w:rsidRDefault="00841300" w:rsidP="0087211A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813E2C">
        <w:rPr>
          <w:rFonts w:ascii="Arial" w:hAnsi="Arial" w:cs="Arial"/>
        </w:rPr>
        <w:t>For the case-control analysis a</w:t>
      </w:r>
      <w:r w:rsidR="004D27A5" w:rsidRPr="00813E2C">
        <w:rPr>
          <w:rFonts w:ascii="Arial" w:hAnsi="Arial" w:cs="Arial"/>
        </w:rPr>
        <w:t xml:space="preserve">n antigenic map of the six V1V2-scaffold antigens and the 246 vaccine group </w:t>
      </w:r>
      <w:r w:rsidR="00E842E8" w:rsidRPr="00813E2C">
        <w:rPr>
          <w:rFonts w:ascii="Arial" w:hAnsi="Arial" w:cs="Arial"/>
        </w:rPr>
        <w:t xml:space="preserve">plasma </w:t>
      </w:r>
      <w:r w:rsidR="004D27A5" w:rsidRPr="00813E2C">
        <w:rPr>
          <w:rFonts w:ascii="Arial" w:hAnsi="Arial" w:cs="Arial"/>
        </w:rPr>
        <w:t xml:space="preserve">samples was </w:t>
      </w:r>
      <w:r w:rsidRPr="00813E2C">
        <w:rPr>
          <w:rFonts w:ascii="Arial" w:hAnsi="Arial" w:cs="Arial"/>
        </w:rPr>
        <w:t xml:space="preserve">computed using MDS.  Antigenic maps have </w:t>
      </w:r>
      <w:r w:rsidR="004D27A5" w:rsidRPr="00813E2C">
        <w:rPr>
          <w:rFonts w:ascii="Arial" w:hAnsi="Arial" w:cs="Arial"/>
        </w:rPr>
        <w:t>been used previously to visualize binding assay data from influenza</w:t>
      </w:r>
      <w:r w:rsidR="00BF1D4A" w:rsidRPr="00813E2C">
        <w:rPr>
          <w:rFonts w:ascii="Arial" w:hAnsi="Arial" w:cs="Arial"/>
        </w:rPr>
        <w:t xml:space="preserve"> </w:t>
      </w:r>
      <w:r w:rsidR="004308AE">
        <w:rPr>
          <w:rFonts w:ascii="Arial" w:hAnsi="Arial" w:cs="Arial"/>
        </w:rPr>
        <w:fldChar w:fldCharType="begin"/>
      </w:r>
      <w:r w:rsidR="00A133BA">
        <w:rPr>
          <w:rFonts w:ascii="Arial" w:hAnsi="Arial" w:cs="Arial"/>
        </w:rPr>
        <w:instrText xml:space="preserve"> ADDIN EN.CITE &lt;EndNote&gt;&lt;Cite&gt;&lt;Author&gt;Lapedes&lt;/Author&gt;&lt;Year&gt;2001&lt;/Year&gt;&lt;RecNum&gt;4733&lt;/RecNum&gt;&lt;DisplayText&gt;[4]&lt;/DisplayText&gt;&lt;record&gt;&lt;rec-number&gt;4733&lt;/rec-number&gt;&lt;foreign-keys&gt;&lt;key app="EN" db-id="rrrvfe5dtza099evwd650wtcefseevtf2xwp"&gt;4733&lt;/key&gt;&lt;/foreign-keys&gt;&lt;ref-type name="Journal Article"&gt;17&lt;/ref-type&gt;&lt;contributors&gt;&lt;authors&gt;&lt;author&gt;Lapedes, A.&lt;/author&gt;&lt;author&gt;Farber, R.&lt;/author&gt;&lt;/authors&gt;&lt;/contributors&gt;&lt;auth-address&gt;Theoretical Division, Los Alamos, NM 87545, U.S.A. asl@lanl.gov&lt;/auth-address&gt;&lt;titles&gt;&lt;title&gt;The geometry of shape space: application to influenza&lt;/title&gt;&lt;secondary-title&gt;J Theor Biol&lt;/secondary-title&gt;&lt;alt-title&gt;Journal of theoretical biology&lt;/alt-title&gt;&lt;/titles&gt;&lt;periodical&gt;&lt;full-title&gt;J Theor Biol&lt;/full-title&gt;&lt;abbr-1&gt;Journal of theoretical biology&lt;/abbr-1&gt;&lt;/periodical&gt;&lt;alt-periodical&gt;&lt;full-title&gt;J Theor Biol&lt;/full-title&gt;&lt;abbr-1&gt;Journal of theoretical biology&lt;/abbr-1&gt;&lt;/alt-periodical&gt;&lt;pages&gt;57-69&lt;/pages&gt;&lt;volume&gt;212&lt;/volume&gt;&lt;number&gt;1&lt;/number&gt;&lt;edition&gt;2001/08/31&lt;/edition&gt;&lt;keywords&gt;&lt;keyword&gt;Algorithms&lt;/keyword&gt;&lt;keyword&gt;Antibodies, Viral/immunology&lt;/keyword&gt;&lt;keyword&gt;Antibody Affinity&lt;/keyword&gt;&lt;keyword&gt;Antigen-Antibody Reactions/*immunology&lt;/keyword&gt;&lt;keyword&gt;Antigens, Viral/immunology&lt;/keyword&gt;&lt;keyword&gt;Hemagglutination Inhibition Tests&lt;/keyword&gt;&lt;keyword&gt;Humans&lt;/keyword&gt;&lt;keyword&gt;Influenza, Human/*immunology&lt;/keyword&gt;&lt;keyword&gt;*Models, Immunological&lt;/keyword&gt;&lt;keyword&gt;Orthomyxoviridae/*immunology&lt;/keyword&gt;&lt;/keywords&gt;&lt;dates&gt;&lt;year&gt;2001&lt;/year&gt;&lt;pub-dates&gt;&lt;date&gt;Sept 7&lt;/date&gt;&lt;/pub-dates&gt;&lt;/dates&gt;&lt;isbn&gt;0022-5193 (Print)&amp;#xD;0022-5193 (Linking&lt;/isbn&gt;&lt;accession-num&gt;11527445&lt;/accession-num&gt;&lt;work-type&gt;Research Support, U.S. Gov&amp;apos;t, Non-P.H.S.&lt;/work-type&gt;&lt;urls&gt;&lt;related-urls&gt;&lt;url&gt;http://www.ncbi.nlm.nih.gov/pubmed/11527445&lt;/url&gt;&lt;/related-urls&gt;&lt;/urls&gt;&lt;electronic-resource-num&gt;10.1006/jtbi.2001.2347&lt;/electronic-resource-num&gt;&lt;language&gt;eng&lt;/language&gt;&lt;/record&gt;&lt;/Cite&gt;&lt;/EndNote&gt;</w:instrText>
      </w:r>
      <w:r w:rsidR="004308AE">
        <w:rPr>
          <w:rFonts w:ascii="Arial" w:hAnsi="Arial" w:cs="Arial"/>
        </w:rPr>
        <w:fldChar w:fldCharType="separate"/>
      </w:r>
      <w:r w:rsidR="00A133BA">
        <w:rPr>
          <w:rFonts w:ascii="Arial" w:hAnsi="Arial" w:cs="Arial"/>
          <w:noProof/>
        </w:rPr>
        <w:t>[</w:t>
      </w:r>
      <w:hyperlink w:anchor="_ENREF_4" w:tooltip="Lapedes, 2001 #4733" w:history="1">
        <w:r w:rsidR="00E22E23">
          <w:rPr>
            <w:rFonts w:ascii="Arial" w:hAnsi="Arial" w:cs="Arial"/>
            <w:noProof/>
          </w:rPr>
          <w:t>4</w:t>
        </w:r>
      </w:hyperlink>
      <w:r w:rsidR="00A133BA">
        <w:rPr>
          <w:rFonts w:ascii="Arial" w:hAnsi="Arial" w:cs="Arial"/>
          <w:noProof/>
        </w:rPr>
        <w:t>]</w:t>
      </w:r>
      <w:r w:rsidR="004308AE">
        <w:rPr>
          <w:rFonts w:ascii="Arial" w:hAnsi="Arial" w:cs="Arial"/>
        </w:rPr>
        <w:fldChar w:fldCharType="end"/>
      </w:r>
      <w:r w:rsidR="00BF1D4A" w:rsidRPr="00813E2C">
        <w:rPr>
          <w:rFonts w:ascii="Arial" w:hAnsi="Arial" w:cs="Arial"/>
          <w:color w:val="FF0000"/>
        </w:rPr>
        <w:t xml:space="preserve"> </w:t>
      </w:r>
      <w:r w:rsidR="004308AE">
        <w:rPr>
          <w:rFonts w:ascii="Arial" w:hAnsi="Arial" w:cs="Arial"/>
        </w:rPr>
        <w:fldChar w:fldCharType="begin">
          <w:fldData xml:space="preserve">PEVuZE5vdGU+PENpdGU+PEF1dGhvcj5TbWl0aDwvQXV0aG9yPjxZZWFyPjIwMDQ8L1llYXI+PFJl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</w:fldData>
        </w:fldChar>
      </w:r>
      <w:r w:rsidR="00A133BA">
        <w:rPr>
          <w:rFonts w:ascii="Arial" w:hAnsi="Arial" w:cs="Arial"/>
        </w:rPr>
        <w:instrText xml:space="preserve"> ADDIN EN.CITE </w:instrText>
      </w:r>
      <w:r w:rsidR="004308AE">
        <w:rPr>
          <w:rFonts w:ascii="Arial" w:hAnsi="Arial" w:cs="Arial"/>
        </w:rPr>
        <w:fldChar w:fldCharType="begin">
          <w:fldData xml:space="preserve">PEVuZE5vdGU+PENpdGU+PEF1dGhvcj5TbWl0aDwvQXV0aG9yPjxZZWFyPjIwMDQ8L1llYXI+PFJl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</w:fldData>
        </w:fldChar>
      </w:r>
      <w:r w:rsidR="00A133BA">
        <w:rPr>
          <w:rFonts w:ascii="Arial" w:hAnsi="Arial" w:cs="Arial"/>
        </w:rPr>
        <w:instrText xml:space="preserve"> ADDIN EN.CITE.DATA </w:instrText>
      </w:r>
      <w:r w:rsidR="004308AE">
        <w:rPr>
          <w:rFonts w:ascii="Arial" w:hAnsi="Arial" w:cs="Arial"/>
        </w:rPr>
      </w:r>
      <w:r w:rsidR="004308AE">
        <w:rPr>
          <w:rFonts w:ascii="Arial" w:hAnsi="Arial" w:cs="Arial"/>
        </w:rPr>
        <w:fldChar w:fldCharType="end"/>
      </w:r>
      <w:r w:rsidR="004308AE">
        <w:rPr>
          <w:rFonts w:ascii="Arial" w:hAnsi="Arial" w:cs="Arial"/>
        </w:rPr>
      </w:r>
      <w:r w:rsidR="004308AE">
        <w:rPr>
          <w:rFonts w:ascii="Arial" w:hAnsi="Arial" w:cs="Arial"/>
        </w:rPr>
        <w:fldChar w:fldCharType="separate"/>
      </w:r>
      <w:r w:rsidR="00A133BA">
        <w:rPr>
          <w:rFonts w:ascii="Arial" w:hAnsi="Arial" w:cs="Arial"/>
          <w:noProof/>
        </w:rPr>
        <w:t>[</w:t>
      </w:r>
      <w:hyperlink w:anchor="_ENREF_5" w:tooltip="Smith, 2004 #4734" w:history="1">
        <w:r w:rsidR="00E22E23">
          <w:rPr>
            <w:rFonts w:ascii="Arial" w:hAnsi="Arial" w:cs="Arial"/>
            <w:noProof/>
          </w:rPr>
          <w:t>5</w:t>
        </w:r>
      </w:hyperlink>
      <w:r w:rsidR="00A133BA">
        <w:rPr>
          <w:rFonts w:ascii="Arial" w:hAnsi="Arial" w:cs="Arial"/>
          <w:noProof/>
        </w:rPr>
        <w:t>]</w:t>
      </w:r>
      <w:r w:rsidR="004308AE">
        <w:rPr>
          <w:rFonts w:ascii="Arial" w:hAnsi="Arial" w:cs="Arial"/>
        </w:rPr>
        <w:fldChar w:fldCharType="end"/>
      </w:r>
      <w:r w:rsidR="00BF1D4A" w:rsidRPr="00813E2C">
        <w:rPr>
          <w:rFonts w:ascii="Arial" w:hAnsi="Arial" w:cs="Arial"/>
        </w:rPr>
        <w:t xml:space="preserve">. </w:t>
      </w:r>
      <w:r w:rsidR="004D27A5" w:rsidRPr="00813E2C">
        <w:rPr>
          <w:rFonts w:ascii="Arial" w:hAnsi="Arial" w:cs="Arial"/>
        </w:rPr>
        <w:t xml:space="preserve"> An antigenic map assigns each antigen and </w:t>
      </w:r>
      <w:r w:rsidR="00E842E8" w:rsidRPr="00813E2C">
        <w:rPr>
          <w:rFonts w:ascii="Arial" w:hAnsi="Arial" w:cs="Arial"/>
        </w:rPr>
        <w:t>plasma</w:t>
      </w:r>
      <w:r w:rsidR="004D27A5" w:rsidRPr="00813E2C">
        <w:rPr>
          <w:rFonts w:ascii="Arial" w:hAnsi="Arial" w:cs="Arial"/>
        </w:rPr>
        <w:t xml:space="preserve"> sample a point in a low dimensional Euclidean space such that the distance between the antigen and </w:t>
      </w:r>
      <w:r w:rsidR="00E842E8" w:rsidRPr="00813E2C">
        <w:rPr>
          <w:rFonts w:ascii="Arial" w:hAnsi="Arial" w:cs="Arial"/>
        </w:rPr>
        <w:t>plasma</w:t>
      </w:r>
      <w:r w:rsidR="004D27A5" w:rsidRPr="00813E2C">
        <w:rPr>
          <w:rFonts w:ascii="Arial" w:hAnsi="Arial" w:cs="Arial"/>
        </w:rPr>
        <w:t xml:space="preserve"> sample in the map </w:t>
      </w:r>
      <w:r w:rsidR="00D25937">
        <w:rPr>
          <w:rFonts w:ascii="Arial" w:hAnsi="Arial" w:cs="Arial"/>
        </w:rPr>
        <w:t>is</w:t>
      </w:r>
      <w:r w:rsidR="002A19A1">
        <w:rPr>
          <w:rFonts w:ascii="Arial" w:hAnsi="Arial" w:cs="Arial"/>
        </w:rPr>
        <w:t xml:space="preserve"> approximated by </w:t>
      </w:r>
      <w:r w:rsidR="00F86692">
        <w:rPr>
          <w:rFonts w:ascii="Arial" w:hAnsi="Arial" w:cs="Arial"/>
        </w:rPr>
        <w:t xml:space="preserve">a specific transformation </w:t>
      </w:r>
      <w:r w:rsidR="004D27A5" w:rsidRPr="00813E2C">
        <w:rPr>
          <w:rFonts w:ascii="Arial" w:hAnsi="Arial" w:cs="Arial"/>
        </w:rPr>
        <w:t>of the original assay read</w:t>
      </w:r>
      <w:r w:rsidR="00605696">
        <w:rPr>
          <w:rFonts w:ascii="Arial" w:hAnsi="Arial" w:cs="Arial"/>
        </w:rPr>
        <w:t>-</w:t>
      </w:r>
      <w:r w:rsidR="004D27A5" w:rsidRPr="00813E2C">
        <w:rPr>
          <w:rFonts w:ascii="Arial" w:hAnsi="Arial" w:cs="Arial"/>
        </w:rPr>
        <w:t>out.  We generated a map in two dimensions based on the following transformation</w:t>
      </w:r>
      <w:r w:rsidR="00B37320">
        <w:rPr>
          <w:rFonts w:ascii="Arial" w:hAnsi="Arial" w:cs="Arial"/>
        </w:rPr>
        <w:t>:</w:t>
      </w:r>
    </w:p>
    <w:p w:rsidR="004D27A5" w:rsidRPr="000051F9" w:rsidRDefault="004308AE" w:rsidP="0087211A">
      <w:pPr>
        <w:spacing w:after="0" w:line="480" w:lineRule="auto"/>
        <w:jc w:val="both"/>
        <w:rPr>
          <w:rFonts w:ascii="Arial" w:hAnsi="Arial" w:cs="Arial"/>
        </w:rPr>
      </w:pPr>
      <m:oMathPara>
        <m:oMath>
          <m:func>
            <m:funcPr>
              <m:ctrlPr>
                <w:rPr>
                  <w:rFonts w:ascii="Cambria Math" w:hAnsi="Arial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MFI</m:t>
                  </m:r>
                </m:e>
              </m:d>
            </m:e>
          </m:func>
          <m:r>
            <w:rPr>
              <w:rFonts w:ascii="Cambria Math" w:hAnsi="Arial" w:cs="Arial"/>
            </w:rPr>
            <m:t>=</m:t>
          </m:r>
          <m:func>
            <m:funcPr>
              <m:ctrlPr>
                <w:rPr>
                  <w:rFonts w:ascii="Cambria Math" w:hAnsi="Arial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r>
                    <w:rPr>
                      <w:rFonts w:ascii="Cambria Math" w:hAnsi="Arial" w:cs="Arial"/>
                    </w:rPr>
                    <m:t>32000</m:t>
                  </m:r>
                </m:e>
              </m:d>
            </m:e>
          </m:func>
          <m:r>
            <w:rPr>
              <w:rFonts w:ascii="Arial" w:hAnsi="Arial" w:cs="Arial"/>
            </w:rPr>
            <m:t>-</m:t>
          </m:r>
          <m:r>
            <w:rPr>
              <w:rFonts w:ascii="Cambria Math" w:hAnsi="Cambria Math" w:cs="Arial"/>
            </w:rPr>
            <m:t>d</m:t>
          </m:r>
        </m:oMath>
      </m:oMathPara>
    </w:p>
    <w:p w:rsidR="004D27A5" w:rsidRPr="00813E2C" w:rsidRDefault="004D27A5" w:rsidP="0087211A">
      <w:pPr>
        <w:spacing w:after="0" w:line="480" w:lineRule="auto"/>
        <w:jc w:val="both"/>
        <w:rPr>
          <w:rFonts w:ascii="Arial" w:hAnsi="Arial" w:cs="Arial"/>
        </w:rPr>
      </w:pPr>
      <w:r w:rsidRPr="00813E2C">
        <w:rPr>
          <w:rFonts w:ascii="Arial" w:hAnsi="Arial" w:cs="Arial"/>
        </w:rPr>
        <w:t xml:space="preserve">where </w:t>
      </w:r>
      <m:oMath>
        <m:r>
          <w:rPr>
            <w:rFonts w:ascii="Cambria Math" w:hAnsi="Cambria Math" w:cs="Arial"/>
          </w:rPr>
          <m:t>d</m:t>
        </m:r>
      </m:oMath>
      <w:r w:rsidRPr="00813E2C">
        <w:rPr>
          <w:rFonts w:ascii="Arial" w:hAnsi="Arial" w:cs="Arial"/>
        </w:rPr>
        <w:t xml:space="preserve"> is the distance in the map and log is the natural logarithm.  </w:t>
      </w:r>
      <w:r w:rsidR="0001296B" w:rsidRPr="00813E2C">
        <w:rPr>
          <w:rFonts w:ascii="Arial" w:hAnsi="Arial" w:cs="Arial"/>
        </w:rPr>
        <w:t xml:space="preserve">The value </w:t>
      </w:r>
      <w:r w:rsidR="0001296B" w:rsidRPr="00EB3DBF">
        <w:rPr>
          <w:rFonts w:ascii="Arial" w:hAnsi="Arial" w:cs="Arial"/>
          <w:color w:val="000000" w:themeColor="text1"/>
        </w:rPr>
        <w:t xml:space="preserve">32000 is </w:t>
      </w:r>
      <w:r w:rsidR="00DE34AC" w:rsidRPr="00EB3DBF">
        <w:rPr>
          <w:rFonts w:ascii="Arial" w:hAnsi="Arial" w:cs="Arial"/>
          <w:color w:val="000000" w:themeColor="text1"/>
        </w:rPr>
        <w:t>the highest possible read</w:t>
      </w:r>
      <w:r w:rsidR="00605696">
        <w:rPr>
          <w:rFonts w:ascii="Arial" w:hAnsi="Arial" w:cs="Arial"/>
          <w:color w:val="000000" w:themeColor="text1"/>
        </w:rPr>
        <w:t>-</w:t>
      </w:r>
      <w:r w:rsidR="00DE34AC" w:rsidRPr="00EB3DBF">
        <w:rPr>
          <w:rFonts w:ascii="Arial" w:hAnsi="Arial" w:cs="Arial"/>
          <w:color w:val="000000" w:themeColor="text1"/>
        </w:rPr>
        <w:t xml:space="preserve">out </w:t>
      </w:r>
      <w:r w:rsidR="006C5B8B">
        <w:rPr>
          <w:rFonts w:ascii="Arial" w:hAnsi="Arial" w:cs="Arial"/>
          <w:color w:val="000000" w:themeColor="text1"/>
        </w:rPr>
        <w:t xml:space="preserve">in BAMA.  </w:t>
      </w:r>
      <w:r w:rsidR="00F86692">
        <w:rPr>
          <w:rFonts w:ascii="Arial" w:hAnsi="Arial" w:cs="Arial"/>
          <w:color w:val="000000" w:themeColor="text1"/>
        </w:rPr>
        <w:t xml:space="preserve">Therefore, </w:t>
      </w:r>
      <w:r w:rsidR="00605696">
        <w:rPr>
          <w:rFonts w:ascii="Arial" w:hAnsi="Arial" w:cs="Arial"/>
          <w:color w:val="000000" w:themeColor="text1"/>
        </w:rPr>
        <w:t>distance between V1V2-scaffold</w:t>
      </w:r>
      <w:r w:rsidR="00F86692">
        <w:rPr>
          <w:rFonts w:ascii="Arial" w:hAnsi="Arial" w:cs="Arial"/>
          <w:color w:val="000000" w:themeColor="text1"/>
        </w:rPr>
        <w:t xml:space="preserve"> antigens and plasma samples approximate the original natural logarithm transformed BAM</w:t>
      </w:r>
      <w:r w:rsidR="00D25937">
        <w:rPr>
          <w:rFonts w:ascii="Arial" w:hAnsi="Arial" w:cs="Arial"/>
          <w:color w:val="000000" w:themeColor="text1"/>
        </w:rPr>
        <w:t>A</w:t>
      </w:r>
      <w:r w:rsidR="00F86692">
        <w:rPr>
          <w:rFonts w:ascii="Arial" w:hAnsi="Arial" w:cs="Arial"/>
          <w:color w:val="000000" w:themeColor="text1"/>
        </w:rPr>
        <w:t xml:space="preserve"> read</w:t>
      </w:r>
      <w:r w:rsidR="00D25937">
        <w:rPr>
          <w:rFonts w:ascii="Arial" w:hAnsi="Arial" w:cs="Arial"/>
          <w:color w:val="000000" w:themeColor="text1"/>
        </w:rPr>
        <w:t>-</w:t>
      </w:r>
      <w:r w:rsidR="00F86692">
        <w:rPr>
          <w:rFonts w:ascii="Arial" w:hAnsi="Arial" w:cs="Arial"/>
          <w:color w:val="000000" w:themeColor="text1"/>
        </w:rPr>
        <w:t xml:space="preserve">out through </w:t>
      </w:r>
      <w:r w:rsidR="00F86692">
        <w:rPr>
          <w:rFonts w:ascii="Arial" w:hAnsi="Arial" w:cs="Arial"/>
          <w:color w:val="000000" w:themeColor="text1"/>
        </w:rPr>
        <w:lastRenderedPageBreak/>
        <w:t xml:space="preserve">a simple linear relationship.  </w:t>
      </w:r>
      <w:r w:rsidRPr="00EB3DBF">
        <w:rPr>
          <w:rFonts w:ascii="Arial" w:hAnsi="Arial" w:cs="Arial"/>
          <w:color w:val="000000" w:themeColor="text1"/>
        </w:rPr>
        <w:t xml:space="preserve">Contour lines are </w:t>
      </w:r>
      <w:r w:rsidR="00317375">
        <w:rPr>
          <w:rFonts w:ascii="Arial" w:hAnsi="Arial" w:cs="Arial"/>
          <w:color w:val="000000" w:themeColor="text1"/>
        </w:rPr>
        <w:t xml:space="preserve">estimated ORs computed </w:t>
      </w:r>
      <w:r w:rsidRPr="00813E2C">
        <w:rPr>
          <w:rFonts w:ascii="Arial" w:hAnsi="Arial" w:cs="Arial"/>
        </w:rPr>
        <w:t>over a grid of points within the map where a hypothetical read</w:t>
      </w:r>
      <w:r w:rsidR="000051F9">
        <w:rPr>
          <w:rFonts w:ascii="Arial" w:hAnsi="Arial" w:cs="Arial"/>
        </w:rPr>
        <w:t>-</w:t>
      </w:r>
      <w:r w:rsidRPr="00813E2C">
        <w:rPr>
          <w:rFonts w:ascii="Arial" w:hAnsi="Arial" w:cs="Arial"/>
        </w:rPr>
        <w:t xml:space="preserve">out is computed for each grid point based on the distances between that point and the </w:t>
      </w:r>
      <w:r w:rsidR="00E842E8" w:rsidRPr="00813E2C">
        <w:rPr>
          <w:rFonts w:ascii="Arial" w:hAnsi="Arial" w:cs="Arial"/>
        </w:rPr>
        <w:t>plasma</w:t>
      </w:r>
      <w:r w:rsidRPr="00813E2C">
        <w:rPr>
          <w:rFonts w:ascii="Arial" w:hAnsi="Arial" w:cs="Arial"/>
        </w:rPr>
        <w:t xml:space="preserve"> samples within the map.</w:t>
      </w:r>
      <w:r w:rsidR="00F47A55">
        <w:rPr>
          <w:rFonts w:ascii="Arial" w:hAnsi="Arial" w:cs="Arial"/>
        </w:rPr>
        <w:t xml:space="preserve">  Although we do not know </w:t>
      </w:r>
      <w:r w:rsidR="00605696">
        <w:rPr>
          <w:rFonts w:ascii="Arial" w:hAnsi="Arial" w:cs="Arial"/>
        </w:rPr>
        <w:t>where additional V1V2-scaffold</w:t>
      </w:r>
      <w:r w:rsidR="00F47A55">
        <w:rPr>
          <w:rFonts w:ascii="Arial" w:hAnsi="Arial" w:cs="Arial"/>
        </w:rPr>
        <w:t xml:space="preserve"> antigens would fall within the map had we run them in the assay</w:t>
      </w:r>
      <w:r w:rsidR="00D4131D">
        <w:rPr>
          <w:rFonts w:ascii="Arial" w:hAnsi="Arial" w:cs="Arial"/>
        </w:rPr>
        <w:t>,</w:t>
      </w:r>
      <w:r w:rsidR="00F47A55">
        <w:rPr>
          <w:rFonts w:ascii="Arial" w:hAnsi="Arial" w:cs="Arial"/>
        </w:rPr>
        <w:t xml:space="preserve"> </w:t>
      </w:r>
      <w:r w:rsidR="00D4131D">
        <w:rPr>
          <w:rFonts w:ascii="Arial" w:hAnsi="Arial" w:cs="Arial"/>
        </w:rPr>
        <w:t>the contour lines allow us to see the effect of changes in location within the map</w:t>
      </w:r>
      <w:r w:rsidR="002A19A1">
        <w:rPr>
          <w:rFonts w:ascii="Arial" w:hAnsi="Arial" w:cs="Arial"/>
        </w:rPr>
        <w:t xml:space="preserve"> on the estimated OR of HIV-1 infection w</w:t>
      </w:r>
      <w:r w:rsidR="00D4131D">
        <w:rPr>
          <w:rFonts w:ascii="Arial" w:hAnsi="Arial" w:cs="Arial"/>
        </w:rPr>
        <w:t>ere we able to measure additional read</w:t>
      </w:r>
      <w:r w:rsidR="00D25937">
        <w:rPr>
          <w:rFonts w:ascii="Arial" w:hAnsi="Arial" w:cs="Arial"/>
        </w:rPr>
        <w:t>-</w:t>
      </w:r>
      <w:r w:rsidR="00D4131D">
        <w:rPr>
          <w:rFonts w:ascii="Arial" w:hAnsi="Arial" w:cs="Arial"/>
        </w:rPr>
        <w:t>outs.  Additionally</w:t>
      </w:r>
      <w:r w:rsidR="002A19A1">
        <w:rPr>
          <w:rFonts w:ascii="Arial" w:hAnsi="Arial" w:cs="Arial"/>
        </w:rPr>
        <w:t>, even though there may not</w:t>
      </w:r>
      <w:r w:rsidR="00605696">
        <w:rPr>
          <w:rFonts w:ascii="Arial" w:hAnsi="Arial" w:cs="Arial"/>
        </w:rPr>
        <w:t xml:space="preserve"> exist a V1V2-scaffold</w:t>
      </w:r>
      <w:r w:rsidR="00D4131D">
        <w:rPr>
          <w:rFonts w:ascii="Arial" w:hAnsi="Arial" w:cs="Arial"/>
        </w:rPr>
        <w:t xml:space="preserve"> antigen that occupies every point on the map</w:t>
      </w:r>
      <w:r w:rsidR="004A2F05">
        <w:rPr>
          <w:rFonts w:ascii="Arial" w:hAnsi="Arial" w:cs="Arial"/>
        </w:rPr>
        <w:t>,</w:t>
      </w:r>
      <w:r w:rsidR="00D4131D">
        <w:rPr>
          <w:rFonts w:ascii="Arial" w:hAnsi="Arial" w:cs="Arial"/>
        </w:rPr>
        <w:t xml:space="preserve"> we can use the contour lines to derive a theoretical location within the map that best discriminates risk of infection.</w:t>
      </w:r>
    </w:p>
    <w:p w:rsidR="00DB736C" w:rsidRDefault="000D6BB9" w:rsidP="0087211A">
      <w:pPr>
        <w:spacing w:after="0" w:line="48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:rsidR="00F86692" w:rsidRDefault="00F86692" w:rsidP="0087211A">
      <w:pPr>
        <w:spacing w:after="0" w:line="48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Interpretation of antigenic map derived from bam</w:t>
      </w:r>
      <w:r w:rsidR="00DB736C">
        <w:rPr>
          <w:rFonts w:ascii="Arial" w:hAnsi="Arial" w:cs="Arial"/>
          <w:b/>
          <w:caps/>
        </w:rPr>
        <w:t xml:space="preserve">A </w:t>
      </w:r>
      <w:r>
        <w:rPr>
          <w:rFonts w:ascii="Arial" w:hAnsi="Arial" w:cs="Arial"/>
          <w:b/>
          <w:caps/>
        </w:rPr>
        <w:t>read</w:t>
      </w:r>
      <w:r w:rsidR="00DB736C">
        <w:rPr>
          <w:rFonts w:ascii="Arial" w:hAnsi="Arial" w:cs="Arial"/>
          <w:b/>
          <w:caps/>
        </w:rPr>
        <w:t>-</w:t>
      </w:r>
      <w:r>
        <w:rPr>
          <w:rFonts w:ascii="Arial" w:hAnsi="Arial" w:cs="Arial"/>
          <w:b/>
          <w:caps/>
        </w:rPr>
        <w:t>outs.</w:t>
      </w:r>
    </w:p>
    <w:p w:rsidR="00F86692" w:rsidRDefault="00F86692" w:rsidP="0087211A">
      <w:pPr>
        <w:spacing w:after="0" w:line="480" w:lineRule="auto"/>
        <w:ind w:firstLine="72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Based on subtype match, we assume that the </w:t>
      </w:r>
      <w:r w:rsidRPr="00813E2C">
        <w:rPr>
          <w:rFonts w:ascii="Arial" w:hAnsi="Arial" w:cs="Arial"/>
        </w:rPr>
        <w:t>gp70.AE(92TH023)-V1V2</w:t>
      </w:r>
      <w:r>
        <w:rPr>
          <w:rFonts w:ascii="Arial" w:hAnsi="Arial" w:cs="Arial"/>
        </w:rPr>
        <w:t xml:space="preserve"> is antigenically most similar to the majority of circulating strains in the trial population.  From the contour lines of the antigenic map</w:t>
      </w:r>
      <w:r w:rsidR="00F461BA">
        <w:rPr>
          <w:rFonts w:ascii="Arial" w:hAnsi="Arial" w:cs="Arial"/>
        </w:rPr>
        <w:t xml:space="preserve"> (</w:t>
      </w:r>
      <w:r w:rsidR="00F461BA" w:rsidRPr="00DB736C">
        <w:rPr>
          <w:rFonts w:ascii="Arial" w:hAnsi="Arial" w:cs="Arial"/>
          <w:b/>
        </w:rPr>
        <w:t>Supplemental Figure S</w:t>
      </w:r>
      <w:r w:rsidR="00203FC1">
        <w:rPr>
          <w:rFonts w:ascii="Arial" w:hAnsi="Arial" w:cs="Arial"/>
          <w:b/>
        </w:rPr>
        <w:t>3</w:t>
      </w:r>
      <w:r w:rsidR="00F461BA" w:rsidRPr="00865CB6">
        <w:rPr>
          <w:rFonts w:ascii="Arial" w:hAnsi="Arial" w:cs="Arial"/>
        </w:rPr>
        <w:t>)</w:t>
      </w:r>
      <w:r>
        <w:rPr>
          <w:rFonts w:ascii="Arial" w:hAnsi="Arial" w:cs="Arial"/>
        </w:rPr>
        <w:t>, we can see that when probing plasma response</w:t>
      </w:r>
      <w:r w:rsidR="00605696">
        <w:rPr>
          <w:rFonts w:ascii="Arial" w:hAnsi="Arial" w:cs="Arial"/>
        </w:rPr>
        <w:t>s with different V1V2-scaffold</w:t>
      </w:r>
      <w:r>
        <w:rPr>
          <w:rFonts w:ascii="Arial" w:hAnsi="Arial" w:cs="Arial"/>
        </w:rPr>
        <w:t xml:space="preserve"> antige</w:t>
      </w:r>
      <w:r w:rsidR="002A19A1">
        <w:rPr>
          <w:rFonts w:ascii="Arial" w:hAnsi="Arial" w:cs="Arial"/>
        </w:rPr>
        <w:t xml:space="preserve">ns, the strongest predictor </w:t>
      </w:r>
      <w:r>
        <w:rPr>
          <w:rFonts w:ascii="Arial" w:hAnsi="Arial" w:cs="Arial"/>
        </w:rPr>
        <w:t xml:space="preserve">of </w:t>
      </w:r>
      <w:r w:rsidR="002A19A1">
        <w:rPr>
          <w:rFonts w:ascii="Arial" w:hAnsi="Arial" w:cs="Arial"/>
        </w:rPr>
        <w:t xml:space="preserve">infection </w:t>
      </w:r>
      <w:r>
        <w:rPr>
          <w:rFonts w:ascii="Arial" w:hAnsi="Arial" w:cs="Arial"/>
        </w:rPr>
        <w:t xml:space="preserve">risk </w:t>
      </w:r>
      <w:r w:rsidR="008446F4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not the antigen most closely related to the circulating strains</w:t>
      </w:r>
      <w:r w:rsidR="008446F4">
        <w:rPr>
          <w:rFonts w:ascii="Arial" w:hAnsi="Arial" w:cs="Arial"/>
        </w:rPr>
        <w:t xml:space="preserve"> (here represented by gp70.AE(92TH023)-V1V2) </w:t>
      </w:r>
      <w:r>
        <w:rPr>
          <w:rFonts w:ascii="Arial" w:hAnsi="Arial" w:cs="Arial"/>
        </w:rPr>
        <w:t xml:space="preserve"> but rather </w:t>
      </w:r>
      <w:r w:rsidR="005977BB">
        <w:rPr>
          <w:rFonts w:ascii="Arial" w:hAnsi="Arial" w:cs="Arial"/>
        </w:rPr>
        <w:t xml:space="preserve">an antigen that </w:t>
      </w:r>
      <w:r w:rsidR="008446F4">
        <w:rPr>
          <w:rFonts w:ascii="Arial" w:hAnsi="Arial" w:cs="Arial"/>
        </w:rPr>
        <w:t xml:space="preserve">carried non-clade AE V1V2 regions (here represented by </w:t>
      </w:r>
      <w:r w:rsidR="00CE7C07">
        <w:rPr>
          <w:rFonts w:ascii="Arial" w:hAnsi="Arial" w:cs="Arial"/>
        </w:rPr>
        <w:t>gp70.C(97ZA012)-V1V2 and gp70.B(Case A2.p623)-V1V2.AP</w:t>
      </w:r>
      <w:r w:rsidR="00CE7C07" w:rsidRPr="00CE7C07">
        <w:rPr>
          <w:rFonts w:ascii="Arial" w:hAnsi="Arial" w:cs="Arial"/>
          <w:vertAlign w:val="subscript"/>
        </w:rPr>
        <w:t>orig</w:t>
      </w:r>
      <w:r w:rsidR="00CE7C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We </w:t>
      </w:r>
      <w:r w:rsidR="00F461BA">
        <w:rPr>
          <w:rFonts w:ascii="Arial" w:hAnsi="Arial" w:cs="Arial"/>
        </w:rPr>
        <w:t xml:space="preserve">hypothesize </w:t>
      </w:r>
      <w:r>
        <w:rPr>
          <w:rFonts w:ascii="Arial" w:hAnsi="Arial" w:cs="Arial"/>
        </w:rPr>
        <w:t>that antigenic maps can inform decisions re</w:t>
      </w:r>
      <w:r w:rsidR="00865CB6">
        <w:rPr>
          <w:rFonts w:ascii="Arial" w:hAnsi="Arial" w:cs="Arial"/>
        </w:rPr>
        <w:t xml:space="preserve">garding which </w:t>
      </w:r>
      <w:r w:rsidR="008446F4">
        <w:rPr>
          <w:rFonts w:ascii="Arial" w:hAnsi="Arial" w:cs="Arial"/>
        </w:rPr>
        <w:t xml:space="preserve">candidate vaccine </w:t>
      </w:r>
      <w:r w:rsidR="00865CB6">
        <w:rPr>
          <w:rFonts w:ascii="Arial" w:hAnsi="Arial" w:cs="Arial"/>
        </w:rPr>
        <w:t>immunogen</w:t>
      </w:r>
      <w:r w:rsidR="005977BB">
        <w:rPr>
          <w:rFonts w:ascii="Arial" w:hAnsi="Arial" w:cs="Arial"/>
        </w:rPr>
        <w:t>(s)</w:t>
      </w:r>
      <w:r w:rsidR="00865CB6">
        <w:rPr>
          <w:rFonts w:ascii="Arial" w:hAnsi="Arial" w:cs="Arial"/>
        </w:rPr>
        <w:t xml:space="preserve"> </w:t>
      </w:r>
      <w:r w:rsidR="00CE7C07">
        <w:rPr>
          <w:rFonts w:ascii="Arial" w:hAnsi="Arial" w:cs="Arial"/>
        </w:rPr>
        <w:t xml:space="preserve">should be </w:t>
      </w:r>
      <w:r>
        <w:rPr>
          <w:rFonts w:ascii="Arial" w:hAnsi="Arial" w:cs="Arial"/>
        </w:rPr>
        <w:t xml:space="preserve">advanced to efficacy trials </w:t>
      </w:r>
      <w:r w:rsidR="00CE7C07">
        <w:rPr>
          <w:rFonts w:ascii="Arial" w:hAnsi="Arial" w:cs="Arial"/>
        </w:rPr>
        <w:t xml:space="preserve">and which antigens are best to use to determine </w:t>
      </w:r>
      <w:r w:rsidR="005977BB">
        <w:rPr>
          <w:rFonts w:ascii="Arial" w:hAnsi="Arial" w:cs="Arial"/>
        </w:rPr>
        <w:t xml:space="preserve">significant </w:t>
      </w:r>
      <w:r w:rsidR="00CE7C07">
        <w:rPr>
          <w:rFonts w:ascii="Arial" w:hAnsi="Arial" w:cs="Arial"/>
        </w:rPr>
        <w:t>correlates of risk.</w:t>
      </w:r>
    </w:p>
    <w:p w:rsidR="00CD502D" w:rsidRPr="00342752" w:rsidRDefault="00CD502D" w:rsidP="0087211A">
      <w:pPr>
        <w:spacing w:after="0" w:line="480" w:lineRule="auto"/>
        <w:jc w:val="both"/>
        <w:rPr>
          <w:rFonts w:ascii="Arial" w:hAnsi="Arial" w:cs="Arial"/>
          <w:b/>
        </w:rPr>
      </w:pPr>
    </w:p>
    <w:p w:rsidR="004B6DC6" w:rsidRDefault="004B6DC6">
      <w:pPr>
        <w:rPr>
          <w:rFonts w:ascii="Arial" w:hAnsi="Arial" w:cs="Arial"/>
          <w:b/>
          <w:u w:val="single"/>
        </w:rPr>
      </w:pPr>
      <w:bookmarkStart w:id="0" w:name="_Toc351458237"/>
      <w:r>
        <w:rPr>
          <w:rFonts w:ascii="Arial" w:hAnsi="Arial" w:cs="Arial"/>
          <w:b/>
          <w:u w:val="single"/>
        </w:rPr>
        <w:br w:type="page"/>
      </w:r>
    </w:p>
    <w:p w:rsidR="00565D71" w:rsidRDefault="00565D71" w:rsidP="00565D71">
      <w:pPr>
        <w:rPr>
          <w:rFonts w:ascii="Arial" w:hAnsi="Arial" w:cs="Arial"/>
          <w:b/>
        </w:rPr>
      </w:pPr>
      <w:r w:rsidRPr="00532EF5">
        <w:rPr>
          <w:rFonts w:ascii="Arial" w:hAnsi="Arial" w:cs="Arial"/>
          <w:b/>
        </w:rPr>
        <w:lastRenderedPageBreak/>
        <w:t>REFERENCES</w:t>
      </w:r>
    </w:p>
    <w:p w:rsidR="00E22E23" w:rsidRPr="00E22E23" w:rsidRDefault="004308AE" w:rsidP="00E22E23">
      <w:pPr>
        <w:spacing w:after="0" w:line="240" w:lineRule="auto"/>
        <w:ind w:left="720" w:hanging="720"/>
        <w:rPr>
          <w:rStyle w:val="Strong"/>
          <w:rFonts w:ascii="Arial" w:eastAsiaTheme="majorEastAsia" w:hAnsi="Arial" w:cs="Arial"/>
          <w:b w:val="0"/>
          <w:noProof/>
          <w:sz w:val="24"/>
        </w:rPr>
      </w:pPr>
      <w:r w:rsidRPr="00A133BA">
        <w:rPr>
          <w:rStyle w:val="Strong"/>
          <w:rFonts w:ascii="Arial" w:eastAsiaTheme="majorEastAsia" w:hAnsi="Arial" w:cs="Arial"/>
          <w:b w:val="0"/>
        </w:rPr>
        <w:fldChar w:fldCharType="begin"/>
      </w:r>
      <w:r w:rsidR="00A133BA" w:rsidRPr="00A133BA">
        <w:rPr>
          <w:rStyle w:val="Strong"/>
          <w:rFonts w:ascii="Arial" w:eastAsiaTheme="majorEastAsia" w:hAnsi="Arial" w:cs="Arial"/>
          <w:b w:val="0"/>
        </w:rPr>
        <w:instrText xml:space="preserve"> ADDIN EN.REFLIST </w:instrText>
      </w:r>
      <w:r w:rsidRPr="00A133BA">
        <w:rPr>
          <w:rStyle w:val="Strong"/>
          <w:rFonts w:ascii="Arial" w:eastAsiaTheme="majorEastAsia" w:hAnsi="Arial" w:cs="Arial"/>
          <w:b w:val="0"/>
        </w:rPr>
        <w:fldChar w:fldCharType="separate"/>
      </w:r>
      <w:bookmarkStart w:id="1" w:name="_ENREF_1"/>
      <w:r w:rsidR="00E22E23" w:rsidRPr="00E22E23">
        <w:rPr>
          <w:rStyle w:val="Strong"/>
          <w:rFonts w:ascii="Arial" w:eastAsiaTheme="majorEastAsia" w:hAnsi="Arial" w:cs="Arial"/>
          <w:b w:val="0"/>
          <w:noProof/>
          <w:sz w:val="24"/>
        </w:rPr>
        <w:t>1. Haynes BF, Gilbert PB, McElrath MJ, Zolla-Pazner S, Tomaras GD, et al. (2012) Immune Correlates Analysis of the ALVAC-AIDSVAX HIV-1 Vaccine Efficacy Trial. N Engl J Med 366: 1275-1286.</w:t>
      </w:r>
      <w:bookmarkEnd w:id="1"/>
    </w:p>
    <w:p w:rsidR="00E22E23" w:rsidRPr="00E22E23" w:rsidRDefault="00E22E23" w:rsidP="00E22E23">
      <w:pPr>
        <w:spacing w:after="0" w:line="240" w:lineRule="auto"/>
        <w:ind w:left="720" w:hanging="720"/>
        <w:rPr>
          <w:rStyle w:val="Strong"/>
          <w:rFonts w:ascii="Arial" w:eastAsiaTheme="majorEastAsia" w:hAnsi="Arial" w:cs="Arial"/>
          <w:b w:val="0"/>
          <w:noProof/>
          <w:sz w:val="24"/>
        </w:rPr>
      </w:pPr>
      <w:bookmarkStart w:id="2" w:name="_ENREF_2"/>
      <w:r w:rsidRPr="00E22E23">
        <w:rPr>
          <w:rStyle w:val="Strong"/>
          <w:rFonts w:ascii="Arial" w:eastAsiaTheme="majorEastAsia" w:hAnsi="Arial" w:cs="Arial"/>
          <w:b w:val="0"/>
          <w:noProof/>
          <w:sz w:val="24"/>
        </w:rPr>
        <w:t>2. De Leeuw J, Mair P (2009) Multidimensional scaling using majorization: SMACOF in R. Journal of Statistical Software 31: 1-30.</w:t>
      </w:r>
      <w:bookmarkEnd w:id="2"/>
    </w:p>
    <w:p w:rsidR="00E22E23" w:rsidRPr="00E22E23" w:rsidRDefault="00E22E23" w:rsidP="00E22E23">
      <w:pPr>
        <w:spacing w:after="0" w:line="240" w:lineRule="auto"/>
        <w:ind w:left="720" w:hanging="720"/>
        <w:rPr>
          <w:rStyle w:val="Strong"/>
          <w:rFonts w:ascii="Arial" w:eastAsiaTheme="majorEastAsia" w:hAnsi="Arial" w:cs="Arial"/>
          <w:b w:val="0"/>
          <w:noProof/>
          <w:sz w:val="24"/>
        </w:rPr>
      </w:pPr>
      <w:bookmarkStart w:id="3" w:name="_ENREF_3"/>
      <w:r w:rsidRPr="00E22E23">
        <w:rPr>
          <w:rStyle w:val="Strong"/>
          <w:rFonts w:ascii="Arial" w:eastAsiaTheme="majorEastAsia" w:hAnsi="Arial" w:cs="Arial"/>
          <w:b w:val="0"/>
          <w:noProof/>
          <w:sz w:val="24"/>
        </w:rPr>
        <w:t>3. Kaufman L, Rousseeuw PJ (1990) Finding groups in data: an introduction to cluster analysis: Wiley, NY.</w:t>
      </w:r>
      <w:bookmarkEnd w:id="3"/>
    </w:p>
    <w:p w:rsidR="00E22E23" w:rsidRPr="00E22E23" w:rsidRDefault="00E22E23" w:rsidP="00E22E23">
      <w:pPr>
        <w:spacing w:after="0" w:line="240" w:lineRule="auto"/>
        <w:ind w:left="720" w:hanging="720"/>
        <w:rPr>
          <w:rStyle w:val="Strong"/>
          <w:rFonts w:ascii="Arial" w:eastAsiaTheme="majorEastAsia" w:hAnsi="Arial" w:cs="Arial"/>
          <w:b w:val="0"/>
          <w:noProof/>
          <w:sz w:val="24"/>
        </w:rPr>
      </w:pPr>
      <w:bookmarkStart w:id="4" w:name="_ENREF_4"/>
      <w:r w:rsidRPr="00E22E23">
        <w:rPr>
          <w:rStyle w:val="Strong"/>
          <w:rFonts w:ascii="Arial" w:eastAsiaTheme="majorEastAsia" w:hAnsi="Arial" w:cs="Arial"/>
          <w:b w:val="0"/>
          <w:noProof/>
          <w:sz w:val="24"/>
        </w:rPr>
        <w:t>4. Lapedes A, Farber R (2001) The geometry of shape space: application to influenza. J Theor Biol 212: 57-69.</w:t>
      </w:r>
      <w:bookmarkEnd w:id="4"/>
    </w:p>
    <w:p w:rsidR="00E22E23" w:rsidRPr="00E22E23" w:rsidRDefault="00E22E23" w:rsidP="00E22E23">
      <w:pPr>
        <w:spacing w:line="240" w:lineRule="auto"/>
        <w:ind w:left="720" w:hanging="720"/>
        <w:rPr>
          <w:rStyle w:val="Strong"/>
          <w:rFonts w:ascii="Arial" w:eastAsiaTheme="majorEastAsia" w:hAnsi="Arial" w:cs="Arial"/>
          <w:b w:val="0"/>
          <w:noProof/>
          <w:sz w:val="24"/>
        </w:rPr>
      </w:pPr>
      <w:bookmarkStart w:id="5" w:name="_ENREF_5"/>
      <w:r w:rsidRPr="00E22E23">
        <w:rPr>
          <w:rStyle w:val="Strong"/>
          <w:rFonts w:ascii="Arial" w:eastAsiaTheme="majorEastAsia" w:hAnsi="Arial" w:cs="Arial"/>
          <w:b w:val="0"/>
          <w:noProof/>
          <w:sz w:val="24"/>
        </w:rPr>
        <w:t>5. Smith DJ, Lapedes AS, de Jong JC, Bestebroer TM, Rimmelzwaan GF, et al. (2004) Mapping the antigenic and genetic evolution of influenza virus. Science 305: 371-376.</w:t>
      </w:r>
      <w:bookmarkEnd w:id="5"/>
    </w:p>
    <w:p w:rsidR="00E22E23" w:rsidRDefault="00E22E23" w:rsidP="00E22E23">
      <w:pPr>
        <w:spacing w:line="240" w:lineRule="auto"/>
        <w:rPr>
          <w:rStyle w:val="Strong"/>
          <w:rFonts w:ascii="Arial" w:eastAsiaTheme="majorEastAsia" w:hAnsi="Arial" w:cs="Arial"/>
          <w:b w:val="0"/>
          <w:noProof/>
        </w:rPr>
      </w:pPr>
    </w:p>
    <w:p w:rsidR="00A133BA" w:rsidRPr="00532EF5" w:rsidRDefault="004308AE" w:rsidP="00A133BA">
      <w:pPr>
        <w:spacing w:line="480" w:lineRule="auto"/>
        <w:rPr>
          <w:rFonts w:ascii="Arial" w:hAnsi="Arial" w:cs="Arial"/>
          <w:b/>
        </w:rPr>
      </w:pPr>
      <w:r w:rsidRPr="00A133BA">
        <w:rPr>
          <w:rStyle w:val="Strong"/>
          <w:rFonts w:ascii="Arial" w:eastAsiaTheme="majorEastAsia" w:hAnsi="Arial" w:cs="Arial"/>
          <w:b w:val="0"/>
        </w:rPr>
        <w:fldChar w:fldCharType="end"/>
      </w:r>
    </w:p>
    <w:bookmarkEnd w:id="0"/>
    <w:p w:rsidR="00C16FB2" w:rsidRDefault="00C16FB2" w:rsidP="00532EF5">
      <w:pPr>
        <w:spacing w:line="480" w:lineRule="auto"/>
        <w:rPr>
          <w:rStyle w:val="Strong"/>
          <w:rFonts w:ascii="Arial" w:eastAsiaTheme="majorEastAsia" w:hAnsi="Arial" w:cs="Arial"/>
        </w:rPr>
      </w:pPr>
    </w:p>
    <w:p w:rsidR="00877AAA" w:rsidRDefault="00877AAA" w:rsidP="00532EF5">
      <w:pPr>
        <w:spacing w:line="480" w:lineRule="auto"/>
        <w:rPr>
          <w:rStyle w:val="Strong"/>
          <w:rFonts w:ascii="Arial" w:eastAsiaTheme="majorEastAsia" w:hAnsi="Arial" w:cs="Arial"/>
        </w:rPr>
      </w:pPr>
    </w:p>
    <w:p w:rsidR="00877AAA" w:rsidRDefault="00877AAA" w:rsidP="00532EF5">
      <w:pPr>
        <w:spacing w:line="480" w:lineRule="auto"/>
        <w:rPr>
          <w:rStyle w:val="Strong"/>
          <w:rFonts w:ascii="Arial" w:eastAsiaTheme="majorEastAsia" w:hAnsi="Arial" w:cs="Arial"/>
        </w:rPr>
      </w:pPr>
    </w:p>
    <w:p w:rsidR="00877AAA" w:rsidRDefault="00877AAA" w:rsidP="00532EF5">
      <w:pPr>
        <w:spacing w:line="480" w:lineRule="auto"/>
        <w:rPr>
          <w:rStyle w:val="Strong"/>
          <w:rFonts w:ascii="Arial" w:eastAsiaTheme="majorEastAsia" w:hAnsi="Arial" w:cs="Arial"/>
        </w:rPr>
      </w:pPr>
    </w:p>
    <w:p w:rsidR="00877AAA" w:rsidRDefault="00877AAA" w:rsidP="00532EF5">
      <w:pPr>
        <w:spacing w:line="480" w:lineRule="auto"/>
        <w:rPr>
          <w:rStyle w:val="Strong"/>
          <w:rFonts w:ascii="Arial" w:eastAsiaTheme="majorEastAsia" w:hAnsi="Arial" w:cs="Arial"/>
        </w:rPr>
      </w:pPr>
    </w:p>
    <w:p w:rsidR="00877AAA" w:rsidRDefault="00877AAA" w:rsidP="00532EF5">
      <w:pPr>
        <w:spacing w:line="480" w:lineRule="auto"/>
        <w:rPr>
          <w:rStyle w:val="Strong"/>
          <w:rFonts w:ascii="Arial" w:eastAsiaTheme="majorEastAsia" w:hAnsi="Arial" w:cs="Arial"/>
        </w:rPr>
      </w:pPr>
    </w:p>
    <w:p w:rsidR="00877AAA" w:rsidRDefault="00877AAA" w:rsidP="00532EF5">
      <w:pPr>
        <w:spacing w:line="480" w:lineRule="auto"/>
        <w:rPr>
          <w:rStyle w:val="Strong"/>
          <w:rFonts w:ascii="Arial" w:eastAsiaTheme="majorEastAsia" w:hAnsi="Arial" w:cs="Arial"/>
        </w:rPr>
      </w:pPr>
    </w:p>
    <w:p w:rsidR="00877AAA" w:rsidRDefault="00877AAA">
      <w:pPr>
        <w:rPr>
          <w:rStyle w:val="Strong"/>
          <w:rFonts w:ascii="Arial" w:eastAsiaTheme="majorEastAsia" w:hAnsi="Arial" w:cs="Arial"/>
        </w:rPr>
      </w:pPr>
      <w:r>
        <w:rPr>
          <w:rStyle w:val="Strong"/>
          <w:rFonts w:ascii="Arial" w:eastAsiaTheme="majorEastAsia" w:hAnsi="Arial" w:cs="Arial"/>
        </w:rPr>
        <w:br w:type="page"/>
      </w:r>
    </w:p>
    <w:p w:rsidR="00877AAA" w:rsidRPr="00491F87" w:rsidRDefault="00877AAA" w:rsidP="00877AA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Supplemental Table S1.  </w:t>
      </w:r>
      <w:r>
        <w:rPr>
          <w:rFonts w:ascii="Arial" w:hAnsi="Arial" w:cs="Arial"/>
        </w:rPr>
        <w:t xml:space="preserve">Estimated odds ratios and p-values for models based on reagent pairs in ELISA*  </w:t>
      </w:r>
    </w:p>
    <w:tbl>
      <w:tblPr>
        <w:tblW w:w="10764" w:type="dxa"/>
        <w:tblCellSpacing w:w="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0"/>
        <w:gridCol w:w="2829"/>
        <w:gridCol w:w="667"/>
        <w:gridCol w:w="494"/>
        <w:gridCol w:w="822"/>
        <w:gridCol w:w="494"/>
        <w:gridCol w:w="822"/>
        <w:gridCol w:w="1176"/>
      </w:tblGrid>
      <w:tr w:rsidR="00877AAA" w:rsidRPr="00DD4EDC" w:rsidTr="00C02AE5">
        <w:trPr>
          <w:trHeight w:val="228"/>
          <w:tblCellSpacing w:w="15" w:type="dxa"/>
        </w:trPr>
        <w:tc>
          <w:tcPr>
            <w:tcW w:w="0" w:type="auto"/>
            <w:vAlign w:val="center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Corr.</w:t>
            </w:r>
          </w:p>
        </w:tc>
        <w:tc>
          <w:tcPr>
            <w:tcW w:w="0" w:type="auto"/>
            <w:gridSpan w:val="2"/>
            <w:vAlign w:val="center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Scaffold 1</w:t>
            </w:r>
          </w:p>
        </w:tc>
        <w:tc>
          <w:tcPr>
            <w:tcW w:w="0" w:type="auto"/>
            <w:gridSpan w:val="2"/>
            <w:vAlign w:val="center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Scaffold 2</w:t>
            </w:r>
          </w:p>
        </w:tc>
        <w:tc>
          <w:tcPr>
            <w:tcW w:w="0" w:type="auto"/>
            <w:vAlign w:val="center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Interaction</w:t>
            </w:r>
          </w:p>
        </w:tc>
      </w:tr>
      <w:tr w:rsidR="00877AAA" w:rsidRPr="00FE300B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Scaffold 1</w:t>
            </w: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Scaffold 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D45723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877AAA"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</w:tr>
      <w:tr w:rsidR="00877AAA" w:rsidRPr="00FE300B" w:rsidTr="00C02AE5">
        <w:trPr>
          <w:trHeight w:val="216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7A550A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7A550A">
              <w:rPr>
                <w:rFonts w:ascii="Arial" w:hAnsi="Arial" w:cs="Arial"/>
                <w:sz w:val="20"/>
                <w:szCs w:val="20"/>
                <w:lang w:val="es-BO"/>
              </w:rPr>
              <w:t>gp70.B(CaseA2.p623)-V1V2.APorig</w:t>
            </w: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gp70.B(Case A2)-V1V2.LL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gp70.A(92RW020)-V1V2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(0.11)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(0.69)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gp70.C(97ZA012)-V1V2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(0.90)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(0.10)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(0.55)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(0.03)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16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(0.14)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gp70.B(Case A2)-V1V2</w:t>
            </w: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gp70.A(92RW020)-V1V2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(0.07)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(0.78)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gp70.C(97ZA012)-V1V2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(0.73)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(0.17)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(0.49)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(0.05)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(0.11)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(0.20)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16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gp70.A(92RW020)-V1V2</w:t>
            </w: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gp70.C(97ZA012)-V1V2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(0.89)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(0.03)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(0.89)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(0.01)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(0.40)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(0.08)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2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gp70.C(97ZA012)-V1V2</w:t>
            </w: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(0.29)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(0.09)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606055" w:rsidTr="00C02AE5">
        <w:trPr>
          <w:trHeight w:val="216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(0.06)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0" w:type="auto"/>
            <w:vAlign w:val="center"/>
            <w:hideMark/>
          </w:tcPr>
          <w:p w:rsidR="00877AAA" w:rsidRPr="00606055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5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77AAA" w:rsidRPr="00DD4EDC" w:rsidTr="00C02AE5">
        <w:trPr>
          <w:trHeight w:val="366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2799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637" w:type="dxa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:rsidR="00877AAA" w:rsidRDefault="00877AAA" w:rsidP="00877AAA">
      <w:pPr>
        <w:rPr>
          <w:rFonts w:ascii="Arial" w:hAnsi="Arial" w:cs="Arial"/>
        </w:rPr>
      </w:pPr>
    </w:p>
    <w:p w:rsidR="00877AAA" w:rsidRDefault="00877AAA" w:rsidP="00877AA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25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each pair an interaction q-value is also reported.  ORs and p-values as well as the interaction q-value are reported only for reagent pairs with Spearman rank correlations (r) below 0.90.</w:t>
      </w:r>
    </w:p>
    <w:p w:rsidR="00877AAA" w:rsidRDefault="00877AAA" w:rsidP="00877AAA">
      <w:pPr>
        <w:spacing w:after="0" w:line="480" w:lineRule="auto"/>
        <w:rPr>
          <w:rFonts w:ascii="Arial" w:hAnsi="Arial" w:cs="Arial"/>
        </w:rPr>
      </w:pPr>
    </w:p>
    <w:p w:rsidR="00877AAA" w:rsidRDefault="00877AAA" w:rsidP="00877A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7AAA" w:rsidRPr="00063FAC" w:rsidRDefault="00877AAA" w:rsidP="00877AAA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Supplemental Table S2.  </w:t>
      </w:r>
      <w:r>
        <w:rPr>
          <w:rFonts w:ascii="Arial" w:hAnsi="Arial" w:cs="Arial"/>
        </w:rPr>
        <w:t xml:space="preserve">Estimated odds ratios and p-values for models based on reagent pairs in BAMA*  </w:t>
      </w:r>
    </w:p>
    <w:p w:rsidR="00877AAA" w:rsidRPr="00DD4EDC" w:rsidRDefault="00877AAA" w:rsidP="00877AAA">
      <w:pPr>
        <w:rPr>
          <w:rFonts w:ascii="Arial" w:hAnsi="Arial" w:cs="Arial"/>
        </w:rPr>
      </w:pPr>
    </w:p>
    <w:tbl>
      <w:tblPr>
        <w:tblW w:w="10579" w:type="dxa"/>
        <w:tblCellSpacing w:w="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7"/>
        <w:gridCol w:w="2621"/>
        <w:gridCol w:w="577"/>
        <w:gridCol w:w="501"/>
        <w:gridCol w:w="834"/>
        <w:gridCol w:w="501"/>
        <w:gridCol w:w="834"/>
        <w:gridCol w:w="1194"/>
      </w:tblGrid>
      <w:tr w:rsidR="00877AAA" w:rsidRPr="006815C2" w:rsidTr="00C02AE5">
        <w:trPr>
          <w:trHeight w:val="227"/>
          <w:tblCellSpacing w:w="15" w:type="dxa"/>
        </w:trPr>
        <w:tc>
          <w:tcPr>
            <w:tcW w:w="0" w:type="auto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Corr.</w:t>
            </w:r>
          </w:p>
        </w:tc>
        <w:tc>
          <w:tcPr>
            <w:tcW w:w="0" w:type="auto"/>
            <w:gridSpan w:val="2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Scaffold 1</w:t>
            </w:r>
          </w:p>
        </w:tc>
        <w:tc>
          <w:tcPr>
            <w:tcW w:w="0" w:type="auto"/>
            <w:gridSpan w:val="2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Scaffold 2</w:t>
            </w:r>
          </w:p>
        </w:tc>
        <w:tc>
          <w:tcPr>
            <w:tcW w:w="0" w:type="auto"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Interaction</w:t>
            </w:r>
          </w:p>
        </w:tc>
      </w:tr>
      <w:tr w:rsidR="00877AAA" w:rsidRPr="006815C2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Scaffold 1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Scaffold 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0" w:type="auto"/>
            <w:hideMark/>
          </w:tcPr>
          <w:p w:rsidR="00877AAA" w:rsidRPr="006815C2" w:rsidRDefault="00D45723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877AAA"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6815C2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</w:tr>
      <w:tr w:rsidR="00877AAA" w:rsidRPr="006815C2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7A550A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7A550A">
              <w:rPr>
                <w:rFonts w:ascii="Arial" w:hAnsi="Arial" w:cs="Arial"/>
                <w:sz w:val="20"/>
                <w:szCs w:val="20"/>
                <w:lang w:val="es-BO"/>
              </w:rPr>
              <w:t>gp70.B(CaseA2.p623)-V1V2.APorig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gp70.B(Case A2)-V1V2.LL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gridSpan w:val="5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gp70.A(92RW020)-V1V2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(0.17)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(0.32)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</w:tr>
      <w:tr w:rsidR="00877AAA" w:rsidRPr="004D7E0C" w:rsidTr="00C02AE5">
        <w:trPr>
          <w:trHeight w:val="216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gp70.C(97ZA012)-V1V2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(0.54)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(0.04)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(0.19)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(0.31)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(0.07)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(0.36)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gp70.B(Case A2)-V1V2.LL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gp70.A(92RW020)-V1V2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(0.16)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(0.48)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gp70.C(97ZA012)-V1V2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(0.63)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(0.06)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</w:tr>
      <w:tr w:rsidR="00877AAA" w:rsidRPr="004D7E0C" w:rsidTr="00C02AE5">
        <w:trPr>
          <w:trHeight w:val="216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(0.21)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(0.57)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(0.07)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(0.63)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gp70.A(92RW020)-V1V2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gp70.C(97ZA012)-V1V2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(0.44)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(0.02)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(0.37)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(0.32)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877AAA" w:rsidRPr="004D7E0C" w:rsidTr="00C02AE5">
        <w:trPr>
          <w:trHeight w:val="216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(0.13)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(0.45)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gp70.C(97ZA012)-V1V2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(0.03)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(0.64)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(0.01)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(0.48)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</w:tr>
      <w:tr w:rsidR="00877AAA" w:rsidRPr="004D7E0C" w:rsidTr="00C02AE5">
        <w:trPr>
          <w:trHeight w:val="227"/>
          <w:tblCellSpacing w:w="15" w:type="dxa"/>
        </w:trPr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tags.C(1086)-V1V2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gp70.AE(92TH023)-V1V2</w:t>
            </w:r>
          </w:p>
        </w:tc>
        <w:tc>
          <w:tcPr>
            <w:tcW w:w="547" w:type="dxa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(0.17)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0" w:type="auto"/>
            <w:hideMark/>
          </w:tcPr>
          <w:p w:rsidR="00877AAA" w:rsidRPr="006815C2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5C2">
              <w:rPr>
                <w:rFonts w:ascii="Arial" w:hAnsi="Arial" w:cs="Arial"/>
                <w:sz w:val="20"/>
                <w:szCs w:val="20"/>
              </w:rPr>
              <w:t>(0.86)</w:t>
            </w:r>
          </w:p>
        </w:tc>
        <w:tc>
          <w:tcPr>
            <w:tcW w:w="0" w:type="auto"/>
            <w:hideMark/>
          </w:tcPr>
          <w:p w:rsidR="00877AAA" w:rsidRPr="004D7E0C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0C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</w:tbl>
    <w:p w:rsidR="00877AAA" w:rsidRPr="006815C2" w:rsidRDefault="00877AAA" w:rsidP="00877AAA">
      <w:pPr>
        <w:ind w:left="-1260"/>
        <w:rPr>
          <w:rFonts w:ascii="Arial" w:hAnsi="Arial" w:cs="Arial"/>
          <w:sz w:val="20"/>
          <w:szCs w:val="20"/>
        </w:rPr>
      </w:pPr>
    </w:p>
    <w:p w:rsidR="00877AAA" w:rsidRPr="00491F87" w:rsidRDefault="00877AAA" w:rsidP="00877AA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25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each pair an interaction q-value is also reported.  ORs and p-values as well as the interaction q-value are reported only for reagent pairs with Spearman rank correlations r below 0.90.</w:t>
      </w:r>
    </w:p>
    <w:p w:rsidR="00877AAA" w:rsidRPr="00DD4EDC" w:rsidRDefault="00877AAA" w:rsidP="00877AAA">
      <w:pPr>
        <w:rPr>
          <w:rFonts w:ascii="Arial" w:hAnsi="Arial" w:cs="Arial"/>
        </w:rPr>
      </w:pPr>
    </w:p>
    <w:p w:rsidR="00877AAA" w:rsidRPr="00491F87" w:rsidRDefault="00877AAA" w:rsidP="00877AA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491F87">
        <w:rPr>
          <w:rFonts w:ascii="Arial" w:hAnsi="Arial" w:cs="Arial"/>
          <w:b/>
        </w:rPr>
        <w:lastRenderedPageBreak/>
        <w:t>Supplemental Table S</w:t>
      </w:r>
      <w:r>
        <w:rPr>
          <w:rFonts w:ascii="Arial" w:hAnsi="Arial" w:cs="Arial"/>
          <w:b/>
        </w:rPr>
        <w:t>3</w:t>
      </w:r>
      <w:r w:rsidRPr="00491F8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Estimated odds ratios and p-values comparing High versus Low (upper and lower third responses) vaccine recipient subgroups for the six V1V2-scaffold antigens and the three cross-reactivity score variables based on ELISA and BAMA read-outs*.</w:t>
      </w:r>
    </w:p>
    <w:tbl>
      <w:tblPr>
        <w:tblW w:w="81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615"/>
        <w:gridCol w:w="1033"/>
        <w:gridCol w:w="615"/>
        <w:gridCol w:w="1048"/>
      </w:tblGrid>
      <w:tr w:rsidR="00877AAA" w:rsidRPr="00DD4EDC" w:rsidTr="00C02AE5">
        <w:trPr>
          <w:trHeight w:val="22"/>
          <w:tblCellSpacing w:w="15" w:type="dxa"/>
        </w:trPr>
        <w:tc>
          <w:tcPr>
            <w:tcW w:w="0" w:type="auto"/>
            <w:vAlign w:val="center"/>
          </w:tcPr>
          <w:p w:rsidR="00877AAA" w:rsidRPr="00DD4EDC" w:rsidRDefault="00877AAA" w:rsidP="00C02AE5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:rsidR="00877AAA" w:rsidRPr="00DD4EDC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D4EDC">
              <w:rPr>
                <w:rFonts w:ascii="Arial" w:hAnsi="Arial" w:cs="Arial"/>
                <w:b/>
                <w:bCs/>
              </w:rPr>
              <w:t>ELISA</w:t>
            </w:r>
          </w:p>
        </w:tc>
        <w:tc>
          <w:tcPr>
            <w:tcW w:w="0" w:type="auto"/>
            <w:gridSpan w:val="2"/>
            <w:vAlign w:val="center"/>
          </w:tcPr>
          <w:p w:rsidR="00877AAA" w:rsidRPr="00DD4EDC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D4EDC">
              <w:rPr>
                <w:rFonts w:ascii="Arial" w:hAnsi="Arial" w:cs="Arial"/>
                <w:b/>
                <w:bCs/>
              </w:rPr>
              <w:t>BAM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877AAA" w:rsidRPr="00DD4EDC" w:rsidTr="00C02AE5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V1V2 Scaffold Antigen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D4EDC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D45723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877AAA" w:rsidRPr="00DD4EDC">
              <w:rPr>
                <w:rFonts w:ascii="Arial" w:hAnsi="Arial" w:cs="Arial"/>
                <w:b/>
                <w:bCs/>
              </w:rPr>
              <w:t>-value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D4EDC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D45723" w:rsidP="00C02AE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877AAA" w:rsidRPr="00DD4EDC">
              <w:rPr>
                <w:rFonts w:ascii="Arial" w:hAnsi="Arial" w:cs="Arial"/>
                <w:b/>
                <w:bCs/>
              </w:rPr>
              <w:t>-value</w:t>
            </w:r>
          </w:p>
        </w:tc>
      </w:tr>
      <w:tr w:rsidR="00877AAA" w:rsidRPr="00DD4EDC" w:rsidTr="00C02AE5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7A550A" w:rsidRDefault="00877AAA" w:rsidP="00C02AE5">
            <w:pPr>
              <w:spacing w:after="0" w:line="240" w:lineRule="auto"/>
              <w:rPr>
                <w:rFonts w:ascii="Arial" w:hAnsi="Arial" w:cs="Arial"/>
                <w:lang w:val="es-BO"/>
              </w:rPr>
            </w:pPr>
            <w:r w:rsidRPr="007A550A">
              <w:rPr>
                <w:rFonts w:ascii="Arial" w:hAnsi="Arial" w:cs="Arial"/>
                <w:lang w:val="es-BO"/>
              </w:rPr>
              <w:t>gp70.B(CaseA2.p623)-V1V2.AP</w:t>
            </w:r>
            <w:r w:rsidRPr="007A550A">
              <w:rPr>
                <w:rFonts w:ascii="Arial" w:hAnsi="Arial" w:cs="Arial"/>
                <w:vertAlign w:val="subscript"/>
                <w:lang w:val="es-BO"/>
              </w:rPr>
              <w:t>orig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0.041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0.03</w:t>
            </w:r>
            <w:r>
              <w:rPr>
                <w:rFonts w:ascii="Arial" w:hAnsi="Arial" w:cs="Arial"/>
              </w:rPr>
              <w:t>9</w:t>
            </w:r>
          </w:p>
        </w:tc>
      </w:tr>
      <w:tr w:rsidR="00877AAA" w:rsidRPr="00DD4EDC" w:rsidTr="00C02AE5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gp70.B(Case A2)-V1V2.LL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0.020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0.072</w:t>
            </w:r>
          </w:p>
        </w:tc>
      </w:tr>
      <w:tr w:rsidR="00877AAA" w:rsidRPr="00DD4EDC" w:rsidTr="00C02AE5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gp70.A(92RW020)-V1V2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0.21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0.0015</w:t>
            </w:r>
          </w:p>
        </w:tc>
      </w:tr>
      <w:tr w:rsidR="00877AAA" w:rsidRPr="00DD4EDC" w:rsidTr="00C02AE5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gp70.C(97ZA012)-V1V2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0.004</w:t>
            </w:r>
          </w:p>
        </w:tc>
      </w:tr>
      <w:tr w:rsidR="00877AAA" w:rsidRPr="00DD4EDC" w:rsidTr="00C02AE5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tags.C(1086)-V1V2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0.0019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0.55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0.170</w:t>
            </w:r>
          </w:p>
        </w:tc>
      </w:tr>
      <w:tr w:rsidR="00877AAA" w:rsidRPr="00DD4EDC" w:rsidTr="00C02AE5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gp70.AE(92TH023)-V1V2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0.037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10</w:t>
            </w:r>
          </w:p>
        </w:tc>
      </w:tr>
      <w:tr w:rsidR="00877AAA" w:rsidRPr="00DD4EDC" w:rsidTr="00C02AE5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Score 1</w:t>
            </w:r>
            <w:r>
              <w:rPr>
                <w:rFonts w:ascii="Arial" w:hAnsi="Arial" w:cs="Arial"/>
              </w:rPr>
              <w:t xml:space="preserve"> [No. subtypes &gt; 33</w:t>
            </w:r>
            <w:r w:rsidRPr="00296FF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percentile]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0.037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0.04</w:t>
            </w:r>
            <w:r>
              <w:rPr>
                <w:rFonts w:ascii="Arial" w:hAnsi="Arial" w:cs="Arial"/>
              </w:rPr>
              <w:t>4</w:t>
            </w:r>
          </w:p>
        </w:tc>
      </w:tr>
      <w:tr w:rsidR="00877AAA" w:rsidRPr="00DD4EDC" w:rsidTr="00C02AE5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Score 2</w:t>
            </w:r>
            <w:r>
              <w:rPr>
                <w:rFonts w:ascii="Arial" w:hAnsi="Arial" w:cs="Arial"/>
              </w:rPr>
              <w:t xml:space="preserve"> [No. subtypes &gt; 50</w:t>
            </w:r>
            <w:r w:rsidRPr="00296FF4">
              <w:rPr>
                <w:rFonts w:ascii="Arial" w:hAnsi="Arial" w:cs="Arial"/>
                <w:vertAlign w:val="superscript"/>
              </w:rPr>
              <w:t>t</w:t>
            </w:r>
            <w:r w:rsidRPr="006E5CE6">
              <w:rPr>
                <w:rFonts w:ascii="Arial" w:hAnsi="Arial" w:cs="Arial"/>
                <w:vertAlign w:val="superscript"/>
              </w:rPr>
              <w:t xml:space="preserve">h </w:t>
            </w:r>
            <w:r>
              <w:rPr>
                <w:rFonts w:ascii="Arial" w:hAnsi="Arial" w:cs="Arial"/>
              </w:rPr>
              <w:t>percentile]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0.017</w:t>
            </w:r>
          </w:p>
        </w:tc>
      </w:tr>
      <w:tr w:rsidR="00877AAA" w:rsidRPr="00DD4EDC" w:rsidTr="00C02AE5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Score 3</w:t>
            </w:r>
            <w:r>
              <w:rPr>
                <w:rFonts w:ascii="Arial" w:hAnsi="Arial" w:cs="Arial"/>
              </w:rPr>
              <w:t xml:space="preserve"> [No. subtypes &gt; 67</w:t>
            </w:r>
            <w:r w:rsidRPr="00296F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percentile]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0.0078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877AAA" w:rsidRPr="00AA5057" w:rsidRDefault="00877AAA" w:rsidP="00C02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057">
              <w:rPr>
                <w:rFonts w:ascii="Arial" w:hAnsi="Arial" w:cs="Arial"/>
              </w:rPr>
              <w:t>0.095</w:t>
            </w:r>
          </w:p>
        </w:tc>
      </w:tr>
    </w:tbl>
    <w:p w:rsidR="00877AAA" w:rsidRDefault="00877AAA" w:rsidP="00877AAA">
      <w:pPr>
        <w:rPr>
          <w:rFonts w:ascii="Arial" w:hAnsi="Arial" w:cs="Arial"/>
        </w:rPr>
      </w:pPr>
    </w:p>
    <w:p w:rsidR="00877AAA" w:rsidRDefault="00877AAA" w:rsidP="00F81776">
      <w:pPr>
        <w:spacing w:line="480" w:lineRule="auto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 xml:space="preserve">*The three cross-reactivity score variables and the High and Low categories for these variables are described in </w:t>
      </w:r>
      <w:r w:rsidRPr="0062564E">
        <w:rPr>
          <w:rFonts w:ascii="Arial" w:hAnsi="Arial" w:cs="Arial"/>
          <w:b/>
        </w:rPr>
        <w:t xml:space="preserve">Supplementary </w:t>
      </w:r>
      <w:r w:rsidRPr="002A033E">
        <w:rPr>
          <w:rFonts w:ascii="Arial" w:hAnsi="Arial" w:cs="Arial"/>
          <w:b/>
        </w:rPr>
        <w:t>Methods</w:t>
      </w:r>
      <w:r>
        <w:rPr>
          <w:rFonts w:ascii="Arial" w:hAnsi="Arial" w:cs="Arial"/>
        </w:rPr>
        <w:t>. Briefly, the scores count</w:t>
      </w:r>
      <w:r w:rsidRPr="00B75CBF">
        <w:rPr>
          <w:rFonts w:ascii="Arial" w:eastAsia="Calibri" w:hAnsi="Arial" w:cs="Arial"/>
        </w:rPr>
        <w:t xml:space="preserve"> the number of distinct subtypes with a reagent reaction </w:t>
      </w:r>
      <w:r w:rsidRPr="002A033E">
        <w:rPr>
          <w:rFonts w:ascii="Arial" w:eastAsia="Calibri" w:hAnsi="Arial" w:cs="Arial"/>
        </w:rPr>
        <w:t>above th</w:t>
      </w:r>
      <w:r>
        <w:rPr>
          <w:rFonts w:ascii="Arial" w:eastAsia="Calibri" w:hAnsi="Arial" w:cs="Arial"/>
        </w:rPr>
        <w:t>e 33</w:t>
      </w:r>
      <w:r w:rsidRPr="00B75CBF">
        <w:rPr>
          <w:rFonts w:ascii="Arial" w:eastAsia="Calibri" w:hAnsi="Arial" w:cs="Arial"/>
          <w:vertAlign w:val="superscript"/>
        </w:rPr>
        <w:t>rd</w:t>
      </w:r>
      <w:r>
        <w:rPr>
          <w:rFonts w:ascii="Arial" w:eastAsia="Calibri" w:hAnsi="Arial" w:cs="Arial"/>
        </w:rPr>
        <w:t>, 50</w:t>
      </w:r>
      <w:r w:rsidRPr="00B75CBF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>, or 66</w:t>
      </w:r>
      <w:r w:rsidRPr="00B75CBF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percentile of the vaccine group response, and High and Low are the upper and lower tertiles of these counts in the vaccine group.</w:t>
      </w:r>
    </w:p>
    <w:sectPr w:rsidR="00877AAA" w:rsidSect="00AC7E1C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43" w:rsidRDefault="00C67A43" w:rsidP="00AC67DF">
      <w:pPr>
        <w:spacing w:after="0" w:line="240" w:lineRule="auto"/>
      </w:pPr>
      <w:r>
        <w:separator/>
      </w:r>
    </w:p>
  </w:endnote>
  <w:endnote w:type="continuationSeparator" w:id="0">
    <w:p w:rsidR="00C67A43" w:rsidRDefault="00C67A43" w:rsidP="00AC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724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D7D" w:rsidRDefault="004308AE">
        <w:pPr>
          <w:pStyle w:val="Footer"/>
          <w:jc w:val="center"/>
        </w:pPr>
        <w:r>
          <w:fldChar w:fldCharType="begin"/>
        </w:r>
        <w:r w:rsidR="00176F11">
          <w:instrText xml:space="preserve"> PAGE   \* MERGEFORMAT </w:instrText>
        </w:r>
        <w:r>
          <w:fldChar w:fldCharType="separate"/>
        </w:r>
        <w:r w:rsidR="00F817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1D7D" w:rsidRDefault="004E1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43" w:rsidRDefault="00C67A43" w:rsidP="00AC67DF">
      <w:pPr>
        <w:spacing w:after="0" w:line="240" w:lineRule="auto"/>
      </w:pPr>
      <w:r>
        <w:separator/>
      </w:r>
    </w:p>
  </w:footnote>
  <w:footnote w:type="continuationSeparator" w:id="0">
    <w:p w:rsidR="00C67A43" w:rsidRDefault="00C67A43" w:rsidP="00AC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40A"/>
    <w:multiLevelType w:val="hybridMultilevel"/>
    <w:tmpl w:val="57E2E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D03C80"/>
    <w:multiLevelType w:val="hybridMultilevel"/>
    <w:tmpl w:val="494EB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777"/>
    <w:multiLevelType w:val="multilevel"/>
    <w:tmpl w:val="203A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B675D"/>
    <w:multiLevelType w:val="hybridMultilevel"/>
    <w:tmpl w:val="FACCE8B4"/>
    <w:lvl w:ilvl="0" w:tplc="0BBA2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C05252"/>
    <w:multiLevelType w:val="hybridMultilevel"/>
    <w:tmpl w:val="AC24539C"/>
    <w:lvl w:ilvl="0" w:tplc="94C4873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138AA"/>
    <w:multiLevelType w:val="hybridMultilevel"/>
    <w:tmpl w:val="6742ACA6"/>
    <w:lvl w:ilvl="0" w:tplc="1D42D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263B"/>
    <w:multiLevelType w:val="hybridMultilevel"/>
    <w:tmpl w:val="7C6E05F8"/>
    <w:lvl w:ilvl="0" w:tplc="3B2A434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CB3B81"/>
    <w:rsid w:val="0000156C"/>
    <w:rsid w:val="00003C95"/>
    <w:rsid w:val="000051F9"/>
    <w:rsid w:val="0001296B"/>
    <w:rsid w:val="00040956"/>
    <w:rsid w:val="00063FAC"/>
    <w:rsid w:val="00070F7E"/>
    <w:rsid w:val="00074F32"/>
    <w:rsid w:val="00075615"/>
    <w:rsid w:val="000804BA"/>
    <w:rsid w:val="00084E03"/>
    <w:rsid w:val="00093717"/>
    <w:rsid w:val="00096028"/>
    <w:rsid w:val="000D18EA"/>
    <w:rsid w:val="000D5DD9"/>
    <w:rsid w:val="000D6BB9"/>
    <w:rsid w:val="0012407B"/>
    <w:rsid w:val="00127DCA"/>
    <w:rsid w:val="00131E23"/>
    <w:rsid w:val="001454DB"/>
    <w:rsid w:val="001455AC"/>
    <w:rsid w:val="00152106"/>
    <w:rsid w:val="00163413"/>
    <w:rsid w:val="0016561F"/>
    <w:rsid w:val="001704CD"/>
    <w:rsid w:val="00173EE1"/>
    <w:rsid w:val="00176916"/>
    <w:rsid w:val="00176F11"/>
    <w:rsid w:val="001A2B85"/>
    <w:rsid w:val="001B58CC"/>
    <w:rsid w:val="001F28C0"/>
    <w:rsid w:val="0020086D"/>
    <w:rsid w:val="00203FC1"/>
    <w:rsid w:val="0020639A"/>
    <w:rsid w:val="002166B6"/>
    <w:rsid w:val="002248D0"/>
    <w:rsid w:val="00226DBC"/>
    <w:rsid w:val="00236034"/>
    <w:rsid w:val="00243D54"/>
    <w:rsid w:val="0025706D"/>
    <w:rsid w:val="00266065"/>
    <w:rsid w:val="00272313"/>
    <w:rsid w:val="00281EFD"/>
    <w:rsid w:val="00293570"/>
    <w:rsid w:val="002A19A1"/>
    <w:rsid w:val="002B015D"/>
    <w:rsid w:val="002B0EB0"/>
    <w:rsid w:val="002D2FE7"/>
    <w:rsid w:val="002D4EA6"/>
    <w:rsid w:val="002D74BC"/>
    <w:rsid w:val="00304EAB"/>
    <w:rsid w:val="0031036A"/>
    <w:rsid w:val="00317375"/>
    <w:rsid w:val="003342D8"/>
    <w:rsid w:val="0033534A"/>
    <w:rsid w:val="00335CFD"/>
    <w:rsid w:val="00342752"/>
    <w:rsid w:val="00363BDC"/>
    <w:rsid w:val="003810D8"/>
    <w:rsid w:val="00394CFA"/>
    <w:rsid w:val="003A3AA6"/>
    <w:rsid w:val="003F0F9C"/>
    <w:rsid w:val="004308AE"/>
    <w:rsid w:val="00433D2C"/>
    <w:rsid w:val="004347DA"/>
    <w:rsid w:val="00442540"/>
    <w:rsid w:val="00443426"/>
    <w:rsid w:val="00444E2E"/>
    <w:rsid w:val="00445619"/>
    <w:rsid w:val="00447083"/>
    <w:rsid w:val="00453ECD"/>
    <w:rsid w:val="00460D9D"/>
    <w:rsid w:val="0046570F"/>
    <w:rsid w:val="004662EF"/>
    <w:rsid w:val="004833C6"/>
    <w:rsid w:val="00485600"/>
    <w:rsid w:val="004A176C"/>
    <w:rsid w:val="004A2F05"/>
    <w:rsid w:val="004B1A92"/>
    <w:rsid w:val="004B2E90"/>
    <w:rsid w:val="004B6DC6"/>
    <w:rsid w:val="004D27A5"/>
    <w:rsid w:val="004D3093"/>
    <w:rsid w:val="004D7AA1"/>
    <w:rsid w:val="004D7E0C"/>
    <w:rsid w:val="004E1D7D"/>
    <w:rsid w:val="004F752D"/>
    <w:rsid w:val="00506C88"/>
    <w:rsid w:val="005072FC"/>
    <w:rsid w:val="00513165"/>
    <w:rsid w:val="00520E16"/>
    <w:rsid w:val="005246C6"/>
    <w:rsid w:val="00526F1A"/>
    <w:rsid w:val="0053000E"/>
    <w:rsid w:val="00532EF5"/>
    <w:rsid w:val="00552160"/>
    <w:rsid w:val="00557DCB"/>
    <w:rsid w:val="00565D71"/>
    <w:rsid w:val="00580BF5"/>
    <w:rsid w:val="0058636F"/>
    <w:rsid w:val="00591B94"/>
    <w:rsid w:val="00592815"/>
    <w:rsid w:val="005977BB"/>
    <w:rsid w:val="005A7357"/>
    <w:rsid w:val="005B65D3"/>
    <w:rsid w:val="005D083C"/>
    <w:rsid w:val="00605696"/>
    <w:rsid w:val="00606055"/>
    <w:rsid w:val="00606564"/>
    <w:rsid w:val="00607C83"/>
    <w:rsid w:val="00612EF1"/>
    <w:rsid w:val="00622960"/>
    <w:rsid w:val="00627146"/>
    <w:rsid w:val="006406C8"/>
    <w:rsid w:val="00661EEF"/>
    <w:rsid w:val="006844F3"/>
    <w:rsid w:val="0069762B"/>
    <w:rsid w:val="00697824"/>
    <w:rsid w:val="006A0DAF"/>
    <w:rsid w:val="006A2EA6"/>
    <w:rsid w:val="006A53D4"/>
    <w:rsid w:val="006A7481"/>
    <w:rsid w:val="006B0877"/>
    <w:rsid w:val="006C5B8B"/>
    <w:rsid w:val="006E4CB7"/>
    <w:rsid w:val="006E6659"/>
    <w:rsid w:val="00733C48"/>
    <w:rsid w:val="007340F7"/>
    <w:rsid w:val="00744467"/>
    <w:rsid w:val="00750B31"/>
    <w:rsid w:val="0076402A"/>
    <w:rsid w:val="00785CA5"/>
    <w:rsid w:val="0079250D"/>
    <w:rsid w:val="007942B8"/>
    <w:rsid w:val="0079729F"/>
    <w:rsid w:val="007A550A"/>
    <w:rsid w:val="007B0311"/>
    <w:rsid w:val="007B15D5"/>
    <w:rsid w:val="007B409E"/>
    <w:rsid w:val="007B7279"/>
    <w:rsid w:val="007C0D2E"/>
    <w:rsid w:val="007E7E43"/>
    <w:rsid w:val="007F477B"/>
    <w:rsid w:val="00813E2C"/>
    <w:rsid w:val="00821853"/>
    <w:rsid w:val="00841300"/>
    <w:rsid w:val="008418AA"/>
    <w:rsid w:val="008446F4"/>
    <w:rsid w:val="00845F67"/>
    <w:rsid w:val="00865CB6"/>
    <w:rsid w:val="0087211A"/>
    <w:rsid w:val="00874037"/>
    <w:rsid w:val="0087500F"/>
    <w:rsid w:val="00876273"/>
    <w:rsid w:val="00877AAA"/>
    <w:rsid w:val="008872A4"/>
    <w:rsid w:val="0088760A"/>
    <w:rsid w:val="00892917"/>
    <w:rsid w:val="008A2B24"/>
    <w:rsid w:val="008A4687"/>
    <w:rsid w:val="008A74C3"/>
    <w:rsid w:val="008B779E"/>
    <w:rsid w:val="008F5BC2"/>
    <w:rsid w:val="00923BD6"/>
    <w:rsid w:val="00946A67"/>
    <w:rsid w:val="00953CB7"/>
    <w:rsid w:val="00955D57"/>
    <w:rsid w:val="00983A69"/>
    <w:rsid w:val="00993195"/>
    <w:rsid w:val="009A6DC3"/>
    <w:rsid w:val="009D0E28"/>
    <w:rsid w:val="009D3C5E"/>
    <w:rsid w:val="009D6CB1"/>
    <w:rsid w:val="009E34B7"/>
    <w:rsid w:val="009E7406"/>
    <w:rsid w:val="009F443C"/>
    <w:rsid w:val="00A077D1"/>
    <w:rsid w:val="00A11E70"/>
    <w:rsid w:val="00A133BA"/>
    <w:rsid w:val="00A24F4E"/>
    <w:rsid w:val="00A32247"/>
    <w:rsid w:val="00A37A60"/>
    <w:rsid w:val="00A557D4"/>
    <w:rsid w:val="00A61FA3"/>
    <w:rsid w:val="00A6280B"/>
    <w:rsid w:val="00A63C0A"/>
    <w:rsid w:val="00A7319B"/>
    <w:rsid w:val="00A746DE"/>
    <w:rsid w:val="00A7667A"/>
    <w:rsid w:val="00A832EA"/>
    <w:rsid w:val="00A90F59"/>
    <w:rsid w:val="00A91CB1"/>
    <w:rsid w:val="00A92E0F"/>
    <w:rsid w:val="00A943F2"/>
    <w:rsid w:val="00AA5C21"/>
    <w:rsid w:val="00AB60DD"/>
    <w:rsid w:val="00AC2084"/>
    <w:rsid w:val="00AC33F0"/>
    <w:rsid w:val="00AC3919"/>
    <w:rsid w:val="00AC674B"/>
    <w:rsid w:val="00AC67DF"/>
    <w:rsid w:val="00AC7E1C"/>
    <w:rsid w:val="00AF29C3"/>
    <w:rsid w:val="00B11272"/>
    <w:rsid w:val="00B1527B"/>
    <w:rsid w:val="00B22BCE"/>
    <w:rsid w:val="00B3422F"/>
    <w:rsid w:val="00B36362"/>
    <w:rsid w:val="00B37320"/>
    <w:rsid w:val="00B43EB7"/>
    <w:rsid w:val="00B44B6C"/>
    <w:rsid w:val="00B51D3E"/>
    <w:rsid w:val="00B53CC9"/>
    <w:rsid w:val="00B567EF"/>
    <w:rsid w:val="00B6260E"/>
    <w:rsid w:val="00B7396D"/>
    <w:rsid w:val="00B7487E"/>
    <w:rsid w:val="00B87399"/>
    <w:rsid w:val="00BD3054"/>
    <w:rsid w:val="00BD7FDD"/>
    <w:rsid w:val="00BE6529"/>
    <w:rsid w:val="00BF1D4A"/>
    <w:rsid w:val="00BF4F89"/>
    <w:rsid w:val="00C0630C"/>
    <w:rsid w:val="00C069C5"/>
    <w:rsid w:val="00C11ED9"/>
    <w:rsid w:val="00C14CE2"/>
    <w:rsid w:val="00C16FB2"/>
    <w:rsid w:val="00C278F0"/>
    <w:rsid w:val="00C45F71"/>
    <w:rsid w:val="00C67A43"/>
    <w:rsid w:val="00C719F1"/>
    <w:rsid w:val="00C76EF9"/>
    <w:rsid w:val="00C9134A"/>
    <w:rsid w:val="00CA1897"/>
    <w:rsid w:val="00CA227B"/>
    <w:rsid w:val="00CA3691"/>
    <w:rsid w:val="00CB13E1"/>
    <w:rsid w:val="00CB3B81"/>
    <w:rsid w:val="00CB67C5"/>
    <w:rsid w:val="00CD502D"/>
    <w:rsid w:val="00CE61B2"/>
    <w:rsid w:val="00CE7910"/>
    <w:rsid w:val="00CE7C07"/>
    <w:rsid w:val="00CF2764"/>
    <w:rsid w:val="00CF292B"/>
    <w:rsid w:val="00D06B14"/>
    <w:rsid w:val="00D24716"/>
    <w:rsid w:val="00D25937"/>
    <w:rsid w:val="00D4131D"/>
    <w:rsid w:val="00D45723"/>
    <w:rsid w:val="00D465DE"/>
    <w:rsid w:val="00D47D9C"/>
    <w:rsid w:val="00D64DE0"/>
    <w:rsid w:val="00D64EE8"/>
    <w:rsid w:val="00D67D94"/>
    <w:rsid w:val="00D73761"/>
    <w:rsid w:val="00D75088"/>
    <w:rsid w:val="00DA378C"/>
    <w:rsid w:val="00DA4857"/>
    <w:rsid w:val="00DB37CE"/>
    <w:rsid w:val="00DB5DA6"/>
    <w:rsid w:val="00DB736C"/>
    <w:rsid w:val="00DC68AC"/>
    <w:rsid w:val="00DD13B2"/>
    <w:rsid w:val="00DD5D45"/>
    <w:rsid w:val="00DE34AC"/>
    <w:rsid w:val="00DF498C"/>
    <w:rsid w:val="00DF7F5A"/>
    <w:rsid w:val="00E16679"/>
    <w:rsid w:val="00E228F1"/>
    <w:rsid w:val="00E22E23"/>
    <w:rsid w:val="00E25EE3"/>
    <w:rsid w:val="00E521DC"/>
    <w:rsid w:val="00E560DA"/>
    <w:rsid w:val="00E66660"/>
    <w:rsid w:val="00E7659E"/>
    <w:rsid w:val="00E842E8"/>
    <w:rsid w:val="00E84C05"/>
    <w:rsid w:val="00E85CA1"/>
    <w:rsid w:val="00E94698"/>
    <w:rsid w:val="00E966BC"/>
    <w:rsid w:val="00EB16E6"/>
    <w:rsid w:val="00EB3DBF"/>
    <w:rsid w:val="00EB46A2"/>
    <w:rsid w:val="00EB67CA"/>
    <w:rsid w:val="00ED5DEC"/>
    <w:rsid w:val="00EF1C72"/>
    <w:rsid w:val="00EF4DA6"/>
    <w:rsid w:val="00F0446B"/>
    <w:rsid w:val="00F07E11"/>
    <w:rsid w:val="00F105CB"/>
    <w:rsid w:val="00F32423"/>
    <w:rsid w:val="00F32F62"/>
    <w:rsid w:val="00F33FC6"/>
    <w:rsid w:val="00F44BB7"/>
    <w:rsid w:val="00F461BA"/>
    <w:rsid w:val="00F473F1"/>
    <w:rsid w:val="00F47A55"/>
    <w:rsid w:val="00F6448C"/>
    <w:rsid w:val="00F6709B"/>
    <w:rsid w:val="00F74163"/>
    <w:rsid w:val="00F81776"/>
    <w:rsid w:val="00F84C98"/>
    <w:rsid w:val="00F86692"/>
    <w:rsid w:val="00FC099B"/>
    <w:rsid w:val="00FC4375"/>
    <w:rsid w:val="00FD22B6"/>
    <w:rsid w:val="00FD7F96"/>
    <w:rsid w:val="00FE173F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C3"/>
  </w:style>
  <w:style w:type="paragraph" w:styleId="Heading1">
    <w:name w:val="heading 1"/>
    <w:basedOn w:val="Normal"/>
    <w:next w:val="Normal"/>
    <w:link w:val="Heading1Char"/>
    <w:uiPriority w:val="9"/>
    <w:qFormat/>
    <w:rsid w:val="001454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4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4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4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4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4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4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4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4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7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C39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C391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9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98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54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5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32F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2F62"/>
  </w:style>
  <w:style w:type="table" w:styleId="TableGrid">
    <w:name w:val="Table Grid"/>
    <w:basedOn w:val="TableNormal"/>
    <w:uiPriority w:val="59"/>
    <w:rsid w:val="00887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8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760A"/>
  </w:style>
  <w:style w:type="paragraph" w:styleId="Header">
    <w:name w:val="header"/>
    <w:basedOn w:val="Normal"/>
    <w:link w:val="HeaderChar"/>
    <w:uiPriority w:val="99"/>
    <w:unhideWhenUsed/>
    <w:rsid w:val="00AC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DF"/>
  </w:style>
  <w:style w:type="paragraph" w:styleId="Footer">
    <w:name w:val="footer"/>
    <w:basedOn w:val="Normal"/>
    <w:link w:val="FooterChar"/>
    <w:uiPriority w:val="99"/>
    <w:unhideWhenUsed/>
    <w:rsid w:val="00AC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DF"/>
  </w:style>
  <w:style w:type="character" w:customStyle="1" w:styleId="Heading2Char">
    <w:name w:val="Heading 2 Char"/>
    <w:basedOn w:val="DefaultParagraphFont"/>
    <w:link w:val="Heading2"/>
    <w:uiPriority w:val="9"/>
    <w:semiHidden/>
    <w:rsid w:val="00145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54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4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54DB"/>
    <w:rPr>
      <w:b/>
      <w:bCs/>
    </w:rPr>
  </w:style>
  <w:style w:type="character" w:styleId="Emphasis">
    <w:name w:val="Emphasis"/>
    <w:uiPriority w:val="20"/>
    <w:qFormat/>
    <w:rsid w:val="00145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54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54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5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4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4DB"/>
    <w:rPr>
      <w:b/>
      <w:bCs/>
      <w:i/>
      <w:iCs/>
    </w:rPr>
  </w:style>
  <w:style w:type="character" w:styleId="SubtleEmphasis">
    <w:name w:val="Subtle Emphasis"/>
    <w:uiPriority w:val="19"/>
    <w:qFormat/>
    <w:rsid w:val="001454DB"/>
    <w:rPr>
      <w:i/>
      <w:iCs/>
    </w:rPr>
  </w:style>
  <w:style w:type="character" w:styleId="IntenseEmphasis">
    <w:name w:val="Intense Emphasis"/>
    <w:uiPriority w:val="21"/>
    <w:qFormat/>
    <w:rsid w:val="001454DB"/>
    <w:rPr>
      <w:b/>
      <w:bCs/>
    </w:rPr>
  </w:style>
  <w:style w:type="character" w:styleId="SubtleReference">
    <w:name w:val="Subtle Reference"/>
    <w:uiPriority w:val="31"/>
    <w:qFormat/>
    <w:rsid w:val="001454DB"/>
    <w:rPr>
      <w:smallCaps/>
    </w:rPr>
  </w:style>
  <w:style w:type="character" w:styleId="IntenseReference">
    <w:name w:val="Intense Reference"/>
    <w:uiPriority w:val="32"/>
    <w:qFormat/>
    <w:rsid w:val="001454DB"/>
    <w:rPr>
      <w:smallCaps/>
      <w:spacing w:val="5"/>
      <w:u w:val="single"/>
    </w:rPr>
  </w:style>
  <w:style w:type="character" w:styleId="BookTitle">
    <w:name w:val="Book Title"/>
    <w:uiPriority w:val="33"/>
    <w:qFormat/>
    <w:rsid w:val="00145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4D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1454D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54DB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454DB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454DB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454DB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454DB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454DB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454DB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454DB"/>
    <w:pPr>
      <w:spacing w:after="0"/>
      <w:ind w:left="1760"/>
    </w:pPr>
    <w:rPr>
      <w:sz w:val="18"/>
      <w:szCs w:val="18"/>
    </w:rPr>
  </w:style>
  <w:style w:type="character" w:customStyle="1" w:styleId="name">
    <w:name w:val="name"/>
    <w:basedOn w:val="DefaultParagraphFont"/>
    <w:rsid w:val="00074F32"/>
  </w:style>
  <w:style w:type="character" w:customStyle="1" w:styleId="xref-sep">
    <w:name w:val="xref-sep"/>
    <w:basedOn w:val="DefaultParagraphFont"/>
    <w:rsid w:val="00074F32"/>
  </w:style>
  <w:style w:type="character" w:styleId="LineNumber">
    <w:name w:val="line number"/>
    <w:basedOn w:val="DefaultParagraphFont"/>
    <w:uiPriority w:val="99"/>
    <w:semiHidden/>
    <w:unhideWhenUsed/>
    <w:rsid w:val="00AC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D71D-F35E-4781-A380-0AC6FE34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Zolla-Pazner</dc:creator>
  <cp:lastModifiedBy>zollas01@med.nyu.edu</cp:lastModifiedBy>
  <cp:revision>4</cp:revision>
  <cp:lastPrinted>2013-11-25T21:36:00Z</cp:lastPrinted>
  <dcterms:created xsi:type="dcterms:W3CDTF">2014-01-03T19:21:00Z</dcterms:created>
  <dcterms:modified xsi:type="dcterms:W3CDTF">2014-01-03T19:36:00Z</dcterms:modified>
</cp:coreProperties>
</file>