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4D" w:rsidRDefault="00B6074D" w:rsidP="00B6074D">
      <w:pPr>
        <w:pStyle w:val="Caption"/>
        <w:keepNext/>
      </w:pPr>
      <w:r>
        <w:t>Table S</w:t>
      </w:r>
      <w:r w:rsidR="00B80569">
        <w:fldChar w:fldCharType="begin"/>
      </w:r>
      <w:r>
        <w:instrText xml:space="preserve"> SEQ Table_S \* ARABIC </w:instrText>
      </w:r>
      <w:r w:rsidR="00B80569">
        <w:fldChar w:fldCharType="separate"/>
      </w:r>
      <w:r>
        <w:rPr>
          <w:noProof/>
        </w:rPr>
        <w:t>3</w:t>
      </w:r>
      <w:r w:rsidR="00B80569">
        <w:rPr>
          <w:noProof/>
        </w:rPr>
        <w:fldChar w:fldCharType="end"/>
      </w:r>
      <w:r>
        <w:rPr>
          <w:rFonts w:hint="eastAsia"/>
        </w:rPr>
        <w:t>.</w:t>
      </w:r>
      <w:r w:rsidRPr="00F110C8">
        <w:t xml:space="preserve"> </w:t>
      </w:r>
      <w:proofErr w:type="gramStart"/>
      <w:r w:rsidRPr="005302FA">
        <w:t>Classification of methylation type for MSAP.</w:t>
      </w:r>
      <w:proofErr w:type="gramEnd"/>
      <w:r w:rsidRPr="005302FA">
        <w:t xml:space="preserve"> </w:t>
      </w:r>
    </w:p>
    <w:tbl>
      <w:tblPr>
        <w:tblStyle w:val="LightShading2"/>
        <w:tblW w:w="9511" w:type="dxa"/>
        <w:tblLook w:val="04A0"/>
      </w:tblPr>
      <w:tblGrid>
        <w:gridCol w:w="817"/>
        <w:gridCol w:w="706"/>
        <w:gridCol w:w="730"/>
        <w:gridCol w:w="700"/>
        <w:gridCol w:w="1780"/>
        <w:gridCol w:w="706"/>
        <w:gridCol w:w="730"/>
        <w:gridCol w:w="700"/>
        <w:gridCol w:w="2642"/>
      </w:tblGrid>
      <w:tr w:rsidR="00B6074D" w:rsidRPr="005302FA" w:rsidTr="001875B7">
        <w:trPr>
          <w:cnfStyle w:val="100000000000"/>
          <w:trHeight w:val="300"/>
        </w:trPr>
        <w:tc>
          <w:tcPr>
            <w:cnfStyle w:val="001000000000"/>
            <w:tcW w:w="9511" w:type="dxa"/>
            <w:gridSpan w:val="9"/>
            <w:noWrap/>
            <w:hideMark/>
          </w:tcPr>
          <w:p w:rsidR="00B6074D" w:rsidRPr="005302FA" w:rsidRDefault="00B6074D" w:rsidP="00B6074D">
            <w:pPr>
              <w:spacing w:line="240" w:lineRule="auto"/>
            </w:pPr>
            <w:r w:rsidRPr="005302FA">
              <w:t>Classification of sites</w:t>
            </w:r>
          </w:p>
        </w:tc>
      </w:tr>
      <w:tr w:rsidR="00B6074D" w:rsidRPr="005302FA" w:rsidTr="001875B7">
        <w:trPr>
          <w:cnfStyle w:val="000000100000"/>
          <w:trHeight w:val="300"/>
        </w:trPr>
        <w:tc>
          <w:tcPr>
            <w:cnfStyle w:val="001000000000"/>
            <w:tcW w:w="817" w:type="dxa"/>
            <w:noWrap/>
            <w:hideMark/>
          </w:tcPr>
          <w:p w:rsidR="00B6074D" w:rsidRPr="005302FA" w:rsidRDefault="00B6074D" w:rsidP="00B6074D">
            <w:pPr>
              <w:spacing w:line="240" w:lineRule="auto"/>
            </w:pPr>
          </w:p>
        </w:tc>
        <w:tc>
          <w:tcPr>
            <w:tcW w:w="2136" w:type="dxa"/>
            <w:gridSpan w:val="3"/>
            <w:noWrap/>
            <w:hideMark/>
          </w:tcPr>
          <w:p w:rsidR="00B6074D" w:rsidRPr="005302FA" w:rsidRDefault="00B6074D" w:rsidP="00B6074D">
            <w:pPr>
              <w:spacing w:line="240" w:lineRule="auto"/>
              <w:cnfStyle w:val="000000100000"/>
            </w:pPr>
            <w:r w:rsidRPr="005302FA">
              <w:t>Cultivar A</w:t>
            </w:r>
          </w:p>
        </w:tc>
        <w:tc>
          <w:tcPr>
            <w:tcW w:w="1780" w:type="dxa"/>
            <w:tcBorders>
              <w:bottom w:val="nil"/>
            </w:tcBorders>
            <w:noWrap/>
            <w:hideMark/>
          </w:tcPr>
          <w:p w:rsidR="00B6074D" w:rsidRPr="005302FA" w:rsidRDefault="00B6074D" w:rsidP="00B6074D">
            <w:pPr>
              <w:spacing w:line="240" w:lineRule="auto"/>
              <w:cnfStyle w:val="000000100000"/>
            </w:pPr>
          </w:p>
        </w:tc>
        <w:tc>
          <w:tcPr>
            <w:tcW w:w="2136" w:type="dxa"/>
            <w:gridSpan w:val="3"/>
            <w:noWrap/>
            <w:hideMark/>
          </w:tcPr>
          <w:p w:rsidR="00B6074D" w:rsidRPr="005302FA" w:rsidRDefault="00B6074D" w:rsidP="00B6074D">
            <w:pPr>
              <w:spacing w:line="240" w:lineRule="auto"/>
              <w:cnfStyle w:val="000000100000"/>
            </w:pPr>
            <w:r w:rsidRPr="005302FA">
              <w:t>Cultivar B</w:t>
            </w:r>
          </w:p>
        </w:tc>
        <w:tc>
          <w:tcPr>
            <w:tcW w:w="2642" w:type="dxa"/>
            <w:noWrap/>
            <w:hideMark/>
          </w:tcPr>
          <w:p w:rsidR="00B6074D" w:rsidRPr="005302FA" w:rsidRDefault="00B6074D" w:rsidP="00B6074D">
            <w:pPr>
              <w:spacing w:line="240" w:lineRule="auto"/>
              <w:cnfStyle w:val="000000100000"/>
            </w:pPr>
          </w:p>
        </w:tc>
      </w:tr>
      <w:tr w:rsidR="00B6074D" w:rsidRPr="005302FA" w:rsidTr="001875B7">
        <w:trPr>
          <w:trHeight w:val="300"/>
        </w:trPr>
        <w:tc>
          <w:tcPr>
            <w:cnfStyle w:val="001000000000"/>
            <w:tcW w:w="817" w:type="dxa"/>
            <w:noWrap/>
            <w:hideMark/>
          </w:tcPr>
          <w:p w:rsidR="00B6074D" w:rsidRPr="005302FA" w:rsidRDefault="00B6074D" w:rsidP="00B6074D">
            <w:pPr>
              <w:spacing w:line="240" w:lineRule="auto"/>
            </w:pPr>
          </w:p>
        </w:tc>
        <w:tc>
          <w:tcPr>
            <w:tcW w:w="706" w:type="dxa"/>
            <w:noWrap/>
            <w:hideMark/>
          </w:tcPr>
          <w:p w:rsidR="00B6074D" w:rsidRPr="005302FA" w:rsidRDefault="00B6074D" w:rsidP="00B6074D">
            <w:pPr>
              <w:spacing w:line="240" w:lineRule="auto"/>
              <w:cnfStyle w:val="000000000000"/>
            </w:pPr>
            <w:proofErr w:type="spellStart"/>
            <w:r w:rsidRPr="005302FA">
              <w:t>BsiSI</w:t>
            </w:r>
            <w:proofErr w:type="spellEnd"/>
          </w:p>
        </w:tc>
        <w:tc>
          <w:tcPr>
            <w:tcW w:w="730" w:type="dxa"/>
            <w:noWrap/>
            <w:hideMark/>
          </w:tcPr>
          <w:p w:rsidR="00B6074D" w:rsidRPr="005302FA" w:rsidRDefault="00B6074D" w:rsidP="00B6074D">
            <w:pPr>
              <w:spacing w:line="240" w:lineRule="auto"/>
              <w:cnfStyle w:val="000000000000"/>
            </w:pPr>
            <w:proofErr w:type="spellStart"/>
            <w:r w:rsidRPr="005302FA">
              <w:t>HpaII</w:t>
            </w:r>
            <w:proofErr w:type="spellEnd"/>
          </w:p>
        </w:tc>
        <w:tc>
          <w:tcPr>
            <w:tcW w:w="700" w:type="dxa"/>
            <w:noWrap/>
            <w:hideMark/>
          </w:tcPr>
          <w:p w:rsidR="00B6074D" w:rsidRPr="005302FA" w:rsidRDefault="00B6074D" w:rsidP="00B6074D">
            <w:pPr>
              <w:spacing w:line="240" w:lineRule="auto"/>
              <w:cnfStyle w:val="000000000000"/>
            </w:pPr>
            <w:proofErr w:type="spellStart"/>
            <w:r w:rsidRPr="005302FA">
              <w:t>MspI</w:t>
            </w:r>
            <w:proofErr w:type="spellEnd"/>
          </w:p>
        </w:tc>
        <w:tc>
          <w:tcPr>
            <w:tcW w:w="1780" w:type="dxa"/>
            <w:tcBorders>
              <w:top w:val="nil"/>
              <w:bottom w:val="nil"/>
              <w:right w:val="single" w:sz="4" w:space="0" w:color="auto"/>
            </w:tcBorders>
            <w:noWrap/>
            <w:hideMark/>
          </w:tcPr>
          <w:p w:rsidR="00B6074D" w:rsidRPr="005302FA" w:rsidRDefault="00B6074D" w:rsidP="00B6074D">
            <w:pPr>
              <w:spacing w:line="240" w:lineRule="auto"/>
              <w:cnfStyle w:val="000000000000"/>
            </w:pPr>
            <w:r w:rsidRPr="005302FA">
              <w:t>Methylation</w:t>
            </w:r>
          </w:p>
        </w:tc>
        <w:tc>
          <w:tcPr>
            <w:tcW w:w="706" w:type="dxa"/>
            <w:tcBorders>
              <w:left w:val="single" w:sz="4" w:space="0" w:color="auto"/>
            </w:tcBorders>
            <w:noWrap/>
            <w:hideMark/>
          </w:tcPr>
          <w:p w:rsidR="00B6074D" w:rsidRPr="005302FA" w:rsidRDefault="00B6074D" w:rsidP="00B6074D">
            <w:pPr>
              <w:spacing w:line="240" w:lineRule="auto"/>
              <w:cnfStyle w:val="000000000000"/>
            </w:pPr>
            <w:proofErr w:type="spellStart"/>
            <w:r w:rsidRPr="005302FA">
              <w:t>BsiSI</w:t>
            </w:r>
            <w:proofErr w:type="spellEnd"/>
          </w:p>
        </w:tc>
        <w:tc>
          <w:tcPr>
            <w:tcW w:w="730" w:type="dxa"/>
            <w:noWrap/>
            <w:hideMark/>
          </w:tcPr>
          <w:p w:rsidR="00B6074D" w:rsidRPr="005302FA" w:rsidRDefault="00B6074D" w:rsidP="00B6074D">
            <w:pPr>
              <w:spacing w:line="240" w:lineRule="auto"/>
              <w:cnfStyle w:val="000000000000"/>
            </w:pPr>
            <w:proofErr w:type="spellStart"/>
            <w:r w:rsidRPr="005302FA">
              <w:t>HpaII</w:t>
            </w:r>
            <w:proofErr w:type="spellEnd"/>
          </w:p>
        </w:tc>
        <w:tc>
          <w:tcPr>
            <w:tcW w:w="700" w:type="dxa"/>
            <w:noWrap/>
            <w:hideMark/>
          </w:tcPr>
          <w:p w:rsidR="00B6074D" w:rsidRPr="005302FA" w:rsidRDefault="00B6074D" w:rsidP="00B6074D">
            <w:pPr>
              <w:spacing w:line="240" w:lineRule="auto"/>
              <w:cnfStyle w:val="000000000000"/>
            </w:pPr>
            <w:proofErr w:type="spellStart"/>
            <w:r w:rsidRPr="005302FA">
              <w:t>MspI</w:t>
            </w:r>
            <w:proofErr w:type="spellEnd"/>
          </w:p>
        </w:tc>
        <w:tc>
          <w:tcPr>
            <w:tcW w:w="2642" w:type="dxa"/>
            <w:noWrap/>
            <w:hideMark/>
          </w:tcPr>
          <w:p w:rsidR="00B6074D" w:rsidRPr="005302FA" w:rsidRDefault="00B6074D" w:rsidP="00B6074D">
            <w:pPr>
              <w:spacing w:line="240" w:lineRule="auto"/>
              <w:cnfStyle w:val="000000000000"/>
            </w:pPr>
            <w:r w:rsidRPr="005302FA">
              <w:t>Polymorphism</w:t>
            </w:r>
          </w:p>
        </w:tc>
      </w:tr>
      <w:tr w:rsidR="00B6074D" w:rsidRPr="005302FA" w:rsidTr="001875B7">
        <w:trPr>
          <w:cnfStyle w:val="000000100000"/>
          <w:trHeight w:val="300"/>
        </w:trPr>
        <w:tc>
          <w:tcPr>
            <w:cnfStyle w:val="001000000000"/>
            <w:tcW w:w="817" w:type="dxa"/>
            <w:noWrap/>
            <w:hideMark/>
          </w:tcPr>
          <w:p w:rsidR="00B6074D" w:rsidRPr="005302FA" w:rsidRDefault="00B6074D" w:rsidP="00B6074D">
            <w:pPr>
              <w:spacing w:line="240" w:lineRule="auto"/>
            </w:pPr>
            <w:r w:rsidRPr="005302FA">
              <w:t>Site 1</w:t>
            </w:r>
          </w:p>
        </w:tc>
        <w:tc>
          <w:tcPr>
            <w:tcW w:w="706" w:type="dxa"/>
            <w:noWrap/>
            <w:hideMark/>
          </w:tcPr>
          <w:p w:rsidR="00B6074D" w:rsidRPr="005302FA" w:rsidRDefault="00B6074D" w:rsidP="00B6074D">
            <w:pPr>
              <w:spacing w:line="240" w:lineRule="auto"/>
              <w:cnfStyle w:val="000000100000"/>
            </w:pPr>
            <w:r w:rsidRPr="005302FA">
              <w:t>1</w:t>
            </w:r>
          </w:p>
        </w:tc>
        <w:tc>
          <w:tcPr>
            <w:tcW w:w="730" w:type="dxa"/>
            <w:noWrap/>
            <w:hideMark/>
          </w:tcPr>
          <w:p w:rsidR="00B6074D" w:rsidRPr="005302FA" w:rsidRDefault="00B6074D" w:rsidP="00B6074D">
            <w:pPr>
              <w:spacing w:line="240" w:lineRule="auto"/>
              <w:cnfStyle w:val="000000100000"/>
            </w:pPr>
            <w:r w:rsidRPr="005302FA">
              <w:t>1</w:t>
            </w:r>
          </w:p>
        </w:tc>
        <w:tc>
          <w:tcPr>
            <w:tcW w:w="700" w:type="dxa"/>
            <w:noWrap/>
            <w:hideMark/>
          </w:tcPr>
          <w:p w:rsidR="00B6074D" w:rsidRPr="005302FA" w:rsidRDefault="00B6074D" w:rsidP="00B6074D">
            <w:pPr>
              <w:spacing w:line="240" w:lineRule="auto"/>
              <w:cnfStyle w:val="000000100000"/>
            </w:pPr>
            <w:r w:rsidRPr="005302FA">
              <w:t>1</w:t>
            </w:r>
          </w:p>
        </w:tc>
        <w:tc>
          <w:tcPr>
            <w:tcW w:w="1780" w:type="dxa"/>
            <w:tcBorders>
              <w:top w:val="nil"/>
              <w:bottom w:val="nil"/>
              <w:right w:val="single" w:sz="4" w:space="0" w:color="auto"/>
            </w:tcBorders>
            <w:hideMark/>
          </w:tcPr>
          <w:p w:rsidR="00B6074D" w:rsidRPr="005302FA" w:rsidRDefault="00B6074D" w:rsidP="00B6074D">
            <w:pPr>
              <w:spacing w:line="240" w:lineRule="auto"/>
              <w:cnfStyle w:val="000000100000"/>
            </w:pPr>
            <w:r w:rsidRPr="005302FA">
              <w:t>Non-methylated</w:t>
            </w:r>
          </w:p>
        </w:tc>
        <w:tc>
          <w:tcPr>
            <w:tcW w:w="706" w:type="dxa"/>
            <w:tcBorders>
              <w:left w:val="single" w:sz="4" w:space="0" w:color="auto"/>
            </w:tcBorders>
            <w:noWrap/>
            <w:hideMark/>
          </w:tcPr>
          <w:p w:rsidR="00B6074D" w:rsidRPr="005302FA" w:rsidRDefault="00B6074D" w:rsidP="00B6074D">
            <w:pPr>
              <w:spacing w:line="240" w:lineRule="auto"/>
              <w:cnfStyle w:val="000000100000"/>
            </w:pPr>
            <w:r w:rsidRPr="005302FA">
              <w:t>0</w:t>
            </w:r>
          </w:p>
        </w:tc>
        <w:tc>
          <w:tcPr>
            <w:tcW w:w="730" w:type="dxa"/>
            <w:noWrap/>
            <w:hideMark/>
          </w:tcPr>
          <w:p w:rsidR="00B6074D" w:rsidRPr="005302FA" w:rsidRDefault="00B6074D" w:rsidP="00B6074D">
            <w:pPr>
              <w:spacing w:line="240" w:lineRule="auto"/>
              <w:cnfStyle w:val="000000100000"/>
            </w:pPr>
            <w:r w:rsidRPr="005302FA">
              <w:t>0</w:t>
            </w:r>
          </w:p>
        </w:tc>
        <w:tc>
          <w:tcPr>
            <w:tcW w:w="700" w:type="dxa"/>
            <w:noWrap/>
            <w:hideMark/>
          </w:tcPr>
          <w:p w:rsidR="00B6074D" w:rsidRPr="005302FA" w:rsidRDefault="00B6074D" w:rsidP="00B6074D">
            <w:pPr>
              <w:spacing w:line="240" w:lineRule="auto"/>
              <w:cnfStyle w:val="000000100000"/>
            </w:pPr>
            <w:r w:rsidRPr="005302FA">
              <w:t>0</w:t>
            </w:r>
          </w:p>
        </w:tc>
        <w:tc>
          <w:tcPr>
            <w:tcW w:w="2642" w:type="dxa"/>
            <w:hideMark/>
          </w:tcPr>
          <w:p w:rsidR="00B6074D" w:rsidRPr="005302FA" w:rsidRDefault="00B6074D" w:rsidP="00B6074D">
            <w:pPr>
              <w:spacing w:line="240" w:lineRule="auto"/>
              <w:cnfStyle w:val="000000100000"/>
            </w:pPr>
            <w:r w:rsidRPr="005302FA">
              <w:t>Genetic polymorphism</w:t>
            </w:r>
          </w:p>
        </w:tc>
      </w:tr>
      <w:tr w:rsidR="00B6074D" w:rsidRPr="005302FA" w:rsidTr="001875B7">
        <w:trPr>
          <w:trHeight w:val="300"/>
        </w:trPr>
        <w:tc>
          <w:tcPr>
            <w:cnfStyle w:val="001000000000"/>
            <w:tcW w:w="817" w:type="dxa"/>
            <w:noWrap/>
            <w:hideMark/>
          </w:tcPr>
          <w:p w:rsidR="00B6074D" w:rsidRPr="005302FA" w:rsidRDefault="00B6074D" w:rsidP="00B6074D">
            <w:pPr>
              <w:spacing w:line="240" w:lineRule="auto"/>
            </w:pPr>
            <w:r w:rsidRPr="005302FA">
              <w:t>Site 2</w:t>
            </w:r>
          </w:p>
        </w:tc>
        <w:tc>
          <w:tcPr>
            <w:tcW w:w="706" w:type="dxa"/>
            <w:noWrap/>
            <w:hideMark/>
          </w:tcPr>
          <w:p w:rsidR="00B6074D" w:rsidRPr="005302FA" w:rsidRDefault="00B6074D" w:rsidP="00B6074D">
            <w:pPr>
              <w:spacing w:line="240" w:lineRule="auto"/>
              <w:cnfStyle w:val="000000000000"/>
            </w:pPr>
            <w:r w:rsidRPr="005302FA">
              <w:t>1</w:t>
            </w:r>
          </w:p>
        </w:tc>
        <w:tc>
          <w:tcPr>
            <w:tcW w:w="730" w:type="dxa"/>
            <w:noWrap/>
            <w:hideMark/>
          </w:tcPr>
          <w:p w:rsidR="00B6074D" w:rsidRPr="005302FA" w:rsidRDefault="00B6074D" w:rsidP="00B6074D">
            <w:pPr>
              <w:spacing w:line="240" w:lineRule="auto"/>
              <w:cnfStyle w:val="000000000000"/>
            </w:pPr>
            <w:r w:rsidRPr="005302FA">
              <w:t>1</w:t>
            </w:r>
          </w:p>
        </w:tc>
        <w:tc>
          <w:tcPr>
            <w:tcW w:w="700" w:type="dxa"/>
            <w:noWrap/>
            <w:hideMark/>
          </w:tcPr>
          <w:p w:rsidR="00B6074D" w:rsidRPr="005302FA" w:rsidRDefault="00B6074D" w:rsidP="00B6074D">
            <w:pPr>
              <w:spacing w:line="240" w:lineRule="auto"/>
              <w:cnfStyle w:val="000000000000"/>
            </w:pPr>
            <w:r w:rsidRPr="005302FA">
              <w:t>0</w:t>
            </w:r>
          </w:p>
        </w:tc>
        <w:tc>
          <w:tcPr>
            <w:tcW w:w="1780" w:type="dxa"/>
            <w:tcBorders>
              <w:top w:val="nil"/>
              <w:bottom w:val="nil"/>
              <w:right w:val="single" w:sz="4" w:space="0" w:color="auto"/>
            </w:tcBorders>
            <w:hideMark/>
          </w:tcPr>
          <w:p w:rsidR="00B6074D" w:rsidRPr="005302FA" w:rsidRDefault="00B6074D" w:rsidP="00B6074D">
            <w:pPr>
              <w:spacing w:line="240" w:lineRule="auto"/>
              <w:cnfStyle w:val="000000000000"/>
            </w:pPr>
            <w:r w:rsidRPr="005302FA">
              <w:t>CHG methylation</w:t>
            </w:r>
          </w:p>
        </w:tc>
        <w:tc>
          <w:tcPr>
            <w:tcW w:w="706" w:type="dxa"/>
            <w:tcBorders>
              <w:left w:val="single" w:sz="4" w:space="0" w:color="auto"/>
            </w:tcBorders>
            <w:noWrap/>
            <w:hideMark/>
          </w:tcPr>
          <w:p w:rsidR="00B6074D" w:rsidRPr="005302FA" w:rsidRDefault="00B6074D" w:rsidP="00B6074D">
            <w:pPr>
              <w:spacing w:line="240" w:lineRule="auto"/>
              <w:cnfStyle w:val="000000000000"/>
            </w:pPr>
            <w:r w:rsidRPr="005302FA">
              <w:t>1</w:t>
            </w:r>
          </w:p>
        </w:tc>
        <w:tc>
          <w:tcPr>
            <w:tcW w:w="730" w:type="dxa"/>
            <w:noWrap/>
            <w:hideMark/>
          </w:tcPr>
          <w:p w:rsidR="00B6074D" w:rsidRPr="005302FA" w:rsidRDefault="00B6074D" w:rsidP="00B6074D">
            <w:pPr>
              <w:spacing w:line="240" w:lineRule="auto"/>
              <w:cnfStyle w:val="000000000000"/>
            </w:pPr>
            <w:r w:rsidRPr="005302FA">
              <w:t>1</w:t>
            </w:r>
          </w:p>
        </w:tc>
        <w:tc>
          <w:tcPr>
            <w:tcW w:w="700" w:type="dxa"/>
            <w:noWrap/>
            <w:hideMark/>
          </w:tcPr>
          <w:p w:rsidR="00B6074D" w:rsidRPr="005302FA" w:rsidRDefault="00B6074D" w:rsidP="00B6074D">
            <w:pPr>
              <w:spacing w:line="240" w:lineRule="auto"/>
              <w:cnfStyle w:val="000000000000"/>
            </w:pPr>
            <w:r w:rsidRPr="005302FA">
              <w:t>1</w:t>
            </w:r>
          </w:p>
        </w:tc>
        <w:tc>
          <w:tcPr>
            <w:tcW w:w="2642" w:type="dxa"/>
            <w:hideMark/>
          </w:tcPr>
          <w:p w:rsidR="00B6074D" w:rsidRPr="005302FA" w:rsidRDefault="00B6074D" w:rsidP="00B6074D">
            <w:pPr>
              <w:spacing w:line="240" w:lineRule="auto"/>
              <w:cnfStyle w:val="000000000000"/>
            </w:pPr>
            <w:r w:rsidRPr="005302FA">
              <w:t>CHG methylation polymorphism</w:t>
            </w:r>
          </w:p>
        </w:tc>
      </w:tr>
      <w:tr w:rsidR="00B6074D" w:rsidRPr="005302FA" w:rsidTr="001875B7">
        <w:trPr>
          <w:cnfStyle w:val="000000100000"/>
          <w:trHeight w:val="300"/>
        </w:trPr>
        <w:tc>
          <w:tcPr>
            <w:cnfStyle w:val="001000000000"/>
            <w:tcW w:w="817" w:type="dxa"/>
            <w:noWrap/>
            <w:hideMark/>
          </w:tcPr>
          <w:p w:rsidR="00B6074D" w:rsidRPr="005302FA" w:rsidRDefault="00B6074D" w:rsidP="00B6074D">
            <w:pPr>
              <w:spacing w:line="240" w:lineRule="auto"/>
            </w:pPr>
            <w:r w:rsidRPr="005302FA">
              <w:t>Site 3</w:t>
            </w:r>
          </w:p>
        </w:tc>
        <w:tc>
          <w:tcPr>
            <w:tcW w:w="706" w:type="dxa"/>
            <w:noWrap/>
            <w:hideMark/>
          </w:tcPr>
          <w:p w:rsidR="00B6074D" w:rsidRPr="005302FA" w:rsidRDefault="00B6074D" w:rsidP="00B6074D">
            <w:pPr>
              <w:spacing w:line="240" w:lineRule="auto"/>
              <w:cnfStyle w:val="000000100000"/>
            </w:pPr>
            <w:r w:rsidRPr="005302FA">
              <w:t>1</w:t>
            </w:r>
          </w:p>
        </w:tc>
        <w:tc>
          <w:tcPr>
            <w:tcW w:w="730" w:type="dxa"/>
            <w:noWrap/>
            <w:hideMark/>
          </w:tcPr>
          <w:p w:rsidR="00B6074D" w:rsidRPr="005302FA" w:rsidRDefault="00B6074D" w:rsidP="00B6074D">
            <w:pPr>
              <w:spacing w:line="240" w:lineRule="auto"/>
              <w:cnfStyle w:val="000000100000"/>
            </w:pPr>
            <w:r w:rsidRPr="005302FA">
              <w:t>0</w:t>
            </w:r>
          </w:p>
        </w:tc>
        <w:tc>
          <w:tcPr>
            <w:tcW w:w="700" w:type="dxa"/>
            <w:noWrap/>
            <w:hideMark/>
          </w:tcPr>
          <w:p w:rsidR="00B6074D" w:rsidRPr="005302FA" w:rsidRDefault="00B6074D" w:rsidP="00B6074D">
            <w:pPr>
              <w:spacing w:line="240" w:lineRule="auto"/>
              <w:cnfStyle w:val="000000100000"/>
            </w:pPr>
            <w:r w:rsidRPr="005302FA">
              <w:t>1</w:t>
            </w:r>
          </w:p>
        </w:tc>
        <w:tc>
          <w:tcPr>
            <w:tcW w:w="1780" w:type="dxa"/>
            <w:tcBorders>
              <w:top w:val="nil"/>
              <w:bottom w:val="nil"/>
              <w:right w:val="single" w:sz="4" w:space="0" w:color="auto"/>
            </w:tcBorders>
            <w:hideMark/>
          </w:tcPr>
          <w:p w:rsidR="00B6074D" w:rsidRPr="005302FA" w:rsidRDefault="00B6074D" w:rsidP="00B6074D">
            <w:pPr>
              <w:spacing w:line="240" w:lineRule="auto"/>
              <w:cnfStyle w:val="000000100000"/>
            </w:pPr>
            <w:r w:rsidRPr="005302FA">
              <w:t>CG methylation</w:t>
            </w:r>
          </w:p>
        </w:tc>
        <w:tc>
          <w:tcPr>
            <w:tcW w:w="706" w:type="dxa"/>
            <w:tcBorders>
              <w:left w:val="single" w:sz="4" w:space="0" w:color="auto"/>
            </w:tcBorders>
            <w:noWrap/>
            <w:hideMark/>
          </w:tcPr>
          <w:p w:rsidR="00B6074D" w:rsidRPr="005302FA" w:rsidRDefault="00B6074D" w:rsidP="00B6074D">
            <w:pPr>
              <w:spacing w:line="240" w:lineRule="auto"/>
              <w:cnfStyle w:val="000000100000"/>
            </w:pPr>
            <w:r w:rsidRPr="005302FA">
              <w:t>1</w:t>
            </w:r>
          </w:p>
        </w:tc>
        <w:tc>
          <w:tcPr>
            <w:tcW w:w="730" w:type="dxa"/>
            <w:noWrap/>
            <w:hideMark/>
          </w:tcPr>
          <w:p w:rsidR="00B6074D" w:rsidRPr="005302FA" w:rsidRDefault="00B6074D" w:rsidP="00B6074D">
            <w:pPr>
              <w:spacing w:line="240" w:lineRule="auto"/>
              <w:cnfStyle w:val="000000100000"/>
            </w:pPr>
            <w:r w:rsidRPr="005302FA">
              <w:t>1</w:t>
            </w:r>
          </w:p>
        </w:tc>
        <w:tc>
          <w:tcPr>
            <w:tcW w:w="700" w:type="dxa"/>
            <w:noWrap/>
            <w:hideMark/>
          </w:tcPr>
          <w:p w:rsidR="00B6074D" w:rsidRPr="005302FA" w:rsidRDefault="00B6074D" w:rsidP="00B6074D">
            <w:pPr>
              <w:spacing w:line="240" w:lineRule="auto"/>
              <w:cnfStyle w:val="000000100000"/>
            </w:pPr>
            <w:r w:rsidRPr="005302FA">
              <w:t>1</w:t>
            </w:r>
          </w:p>
        </w:tc>
        <w:tc>
          <w:tcPr>
            <w:tcW w:w="2642" w:type="dxa"/>
            <w:hideMark/>
          </w:tcPr>
          <w:p w:rsidR="00B6074D" w:rsidRPr="005302FA" w:rsidRDefault="00B6074D" w:rsidP="00B6074D">
            <w:pPr>
              <w:spacing w:line="240" w:lineRule="auto"/>
              <w:cnfStyle w:val="000000100000"/>
            </w:pPr>
            <w:r w:rsidRPr="005302FA">
              <w:t>CG methylation polymorphism</w:t>
            </w:r>
          </w:p>
        </w:tc>
      </w:tr>
      <w:tr w:rsidR="00B6074D" w:rsidRPr="005302FA" w:rsidTr="001875B7">
        <w:trPr>
          <w:trHeight w:val="300"/>
        </w:trPr>
        <w:tc>
          <w:tcPr>
            <w:cnfStyle w:val="001000000000"/>
            <w:tcW w:w="817" w:type="dxa"/>
            <w:noWrap/>
            <w:hideMark/>
          </w:tcPr>
          <w:p w:rsidR="00B6074D" w:rsidRPr="005302FA" w:rsidRDefault="00B6074D" w:rsidP="00B6074D">
            <w:pPr>
              <w:spacing w:line="240" w:lineRule="auto"/>
            </w:pPr>
            <w:r w:rsidRPr="005302FA">
              <w:t>Si</w:t>
            </w:r>
            <w:r w:rsidRPr="005302FA">
              <w:rPr>
                <w:i/>
              </w:rPr>
              <w:t xml:space="preserve">te </w:t>
            </w:r>
            <w:r w:rsidRPr="005302FA">
              <w:t>4</w:t>
            </w:r>
          </w:p>
        </w:tc>
        <w:tc>
          <w:tcPr>
            <w:tcW w:w="706" w:type="dxa"/>
            <w:noWrap/>
            <w:hideMark/>
          </w:tcPr>
          <w:p w:rsidR="00B6074D" w:rsidRPr="005302FA" w:rsidRDefault="00B6074D" w:rsidP="00B6074D">
            <w:pPr>
              <w:spacing w:line="240" w:lineRule="auto"/>
              <w:cnfStyle w:val="000000000000"/>
            </w:pPr>
            <w:r w:rsidRPr="005302FA">
              <w:t>1</w:t>
            </w:r>
          </w:p>
        </w:tc>
        <w:tc>
          <w:tcPr>
            <w:tcW w:w="730" w:type="dxa"/>
            <w:noWrap/>
            <w:hideMark/>
          </w:tcPr>
          <w:p w:rsidR="00B6074D" w:rsidRPr="005302FA" w:rsidRDefault="00B6074D" w:rsidP="00B6074D">
            <w:pPr>
              <w:spacing w:line="240" w:lineRule="auto"/>
              <w:cnfStyle w:val="000000000000"/>
            </w:pPr>
            <w:r w:rsidRPr="005302FA">
              <w:t>0</w:t>
            </w:r>
          </w:p>
        </w:tc>
        <w:tc>
          <w:tcPr>
            <w:tcW w:w="700" w:type="dxa"/>
            <w:noWrap/>
            <w:hideMark/>
          </w:tcPr>
          <w:p w:rsidR="00B6074D" w:rsidRPr="005302FA" w:rsidRDefault="00B6074D" w:rsidP="00B6074D">
            <w:pPr>
              <w:spacing w:line="240" w:lineRule="auto"/>
              <w:cnfStyle w:val="000000000000"/>
            </w:pPr>
            <w:r w:rsidRPr="005302FA">
              <w:t>0</w:t>
            </w:r>
          </w:p>
        </w:tc>
        <w:tc>
          <w:tcPr>
            <w:tcW w:w="1780" w:type="dxa"/>
            <w:tcBorders>
              <w:top w:val="nil"/>
              <w:bottom w:val="single" w:sz="8" w:space="0" w:color="000000" w:themeColor="text1"/>
              <w:right w:val="single" w:sz="4" w:space="0" w:color="auto"/>
            </w:tcBorders>
            <w:hideMark/>
          </w:tcPr>
          <w:p w:rsidR="00B6074D" w:rsidRPr="005302FA" w:rsidRDefault="00B6074D" w:rsidP="00B6074D">
            <w:pPr>
              <w:spacing w:line="240" w:lineRule="auto"/>
              <w:cnfStyle w:val="000000000000"/>
            </w:pPr>
            <w:r w:rsidRPr="005302FA">
              <w:t>CC methylation</w:t>
            </w:r>
          </w:p>
        </w:tc>
        <w:tc>
          <w:tcPr>
            <w:tcW w:w="4778" w:type="dxa"/>
            <w:gridSpan w:val="4"/>
            <w:tcBorders>
              <w:left w:val="single" w:sz="4" w:space="0" w:color="auto"/>
            </w:tcBorders>
            <w:hideMark/>
          </w:tcPr>
          <w:p w:rsidR="00B6074D" w:rsidRPr="005302FA" w:rsidRDefault="00B6074D" w:rsidP="00B6074D">
            <w:pPr>
              <w:spacing w:line="240" w:lineRule="auto"/>
              <w:cnfStyle w:val="000000000000"/>
            </w:pPr>
            <w:r w:rsidRPr="005302FA">
              <w:t>Change in CC methylation will lead to either/both CHG/CG methylation polymorphism</w:t>
            </w:r>
          </w:p>
        </w:tc>
      </w:tr>
    </w:tbl>
    <w:p w:rsidR="00B6074D" w:rsidRPr="005302FA" w:rsidRDefault="00B6074D" w:rsidP="00B6074D">
      <w:pPr>
        <w:spacing w:line="240" w:lineRule="auto"/>
      </w:pPr>
      <w:r w:rsidRPr="005302FA">
        <w:t>Example of four types of methylation classification and the possible polymorphisms is represented by comparing two genotypes. “1” represents presence of bands and “0” represents absence of bands. Example of determining the methylation state is shown from “Cultivar A” and the polymorphism determined from comparing “Cultivar A” and “Cultivar B”.</w:t>
      </w:r>
    </w:p>
    <w:p w:rsidR="001F61F4" w:rsidRPr="00B6074D" w:rsidRDefault="001F61F4" w:rsidP="00B6074D">
      <w:pPr>
        <w:spacing w:line="240" w:lineRule="auto"/>
      </w:pPr>
      <w:bookmarkStart w:id="0" w:name="_GoBack"/>
      <w:bookmarkEnd w:id="0"/>
    </w:p>
    <w:sectPr w:rsidR="001F61F4" w:rsidRPr="00B6074D" w:rsidSect="00B8056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74D"/>
    <w:rsid w:val="001B5F47"/>
    <w:rsid w:val="001F61F4"/>
    <w:rsid w:val="00B6074D"/>
    <w:rsid w:val="00B8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4D"/>
    <w:pPr>
      <w:spacing w:after="200" w:line="360" w:lineRule="auto"/>
    </w:pPr>
    <w:rPr>
      <w:rFonts w:ascii="Times New Roman" w:eastAsia="MS Mincho" w:hAnsi="Times New Roman" w:cs="Times New Roman"/>
      <w:kern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074D"/>
    <w:pPr>
      <w:spacing w:line="240" w:lineRule="auto"/>
    </w:pPr>
    <w:rPr>
      <w:b/>
      <w:bCs/>
      <w:color w:val="4F81BD" w:themeColor="accent1"/>
      <w:sz w:val="18"/>
      <w:szCs w:val="18"/>
    </w:rPr>
  </w:style>
  <w:style w:type="table" w:customStyle="1" w:styleId="LightShading2">
    <w:name w:val="Light Shading2"/>
    <w:basedOn w:val="TableNormal"/>
    <w:uiPriority w:val="60"/>
    <w:rsid w:val="00B6074D"/>
    <w:rPr>
      <w:rFonts w:eastAsia="MS Mincho"/>
      <w:color w:val="000000" w:themeColor="text1" w:themeShade="BF"/>
      <w:kern w:val="0"/>
      <w:sz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4D"/>
    <w:pPr>
      <w:spacing w:after="200" w:line="360" w:lineRule="auto"/>
    </w:pPr>
    <w:rPr>
      <w:rFonts w:ascii="Times New Roman" w:eastAsia="ＭＳ 明朝" w:hAnsi="Times New Roman" w:cs="Times New Roman"/>
      <w:kern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074D"/>
    <w:pPr>
      <w:spacing w:line="240" w:lineRule="auto"/>
    </w:pPr>
    <w:rPr>
      <w:b/>
      <w:bCs/>
      <w:color w:val="4F81BD" w:themeColor="accent1"/>
      <w:sz w:val="18"/>
      <w:szCs w:val="18"/>
    </w:rPr>
  </w:style>
  <w:style w:type="table" w:customStyle="1" w:styleId="LightShading2">
    <w:name w:val="Light Shading2"/>
    <w:basedOn w:val="TableNormal"/>
    <w:uiPriority w:val="60"/>
    <w:rsid w:val="00B6074D"/>
    <w:rPr>
      <w:rFonts w:eastAsia="ＭＳ 明朝"/>
      <w:color w:val="000000" w:themeColor="text1" w:themeShade="BF"/>
      <w:kern w:val="0"/>
      <w:sz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kenji-osabe</dc:creator>
  <cp:lastModifiedBy>Daniel</cp:lastModifiedBy>
  <cp:revision>2</cp:revision>
  <dcterms:created xsi:type="dcterms:W3CDTF">2013-12-12T05:29:00Z</dcterms:created>
  <dcterms:modified xsi:type="dcterms:W3CDTF">2014-01-10T19:01:00Z</dcterms:modified>
</cp:coreProperties>
</file>