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91" w:rsidRPr="00A12608" w:rsidRDefault="00B771D4" w:rsidP="00407E91">
      <w:pPr>
        <w:pStyle w:val="Heading2"/>
        <w:rPr>
          <w:color w:val="auto"/>
        </w:rPr>
      </w:pPr>
      <w:r w:rsidRPr="00A12608">
        <w:rPr>
          <w:color w:val="auto"/>
        </w:rPr>
        <w:t xml:space="preserve">Supplementary </w:t>
      </w:r>
      <w:r w:rsidR="00407E91" w:rsidRPr="00A12608">
        <w:rPr>
          <w:color w:val="auto"/>
        </w:rPr>
        <w:t xml:space="preserve">File </w:t>
      </w:r>
      <w:r w:rsidR="00A12608">
        <w:rPr>
          <w:color w:val="auto"/>
        </w:rPr>
        <w:t>S</w:t>
      </w:r>
      <w:r w:rsidR="00A973C9">
        <w:rPr>
          <w:color w:val="auto"/>
        </w:rPr>
        <w:t>2</w:t>
      </w:r>
      <w:bookmarkStart w:id="0" w:name="_GoBack"/>
      <w:bookmarkEnd w:id="0"/>
    </w:p>
    <w:p w:rsidR="00B771D4" w:rsidRPr="00A12608" w:rsidRDefault="00407E91" w:rsidP="00407E91">
      <w:pPr>
        <w:pStyle w:val="Heading2"/>
        <w:rPr>
          <w:color w:val="auto"/>
        </w:rPr>
      </w:pPr>
      <w:r w:rsidRPr="00A12608">
        <w:rPr>
          <w:color w:val="auto"/>
        </w:rPr>
        <w:t>“</w:t>
      </w:r>
      <w:r w:rsidR="00B771D4" w:rsidRPr="00A12608">
        <w:rPr>
          <w:color w:val="auto"/>
        </w:rPr>
        <w:t xml:space="preserve">An extensive evaluation of read trimming effects on </w:t>
      </w:r>
      <w:proofErr w:type="spellStart"/>
      <w:r w:rsidR="00B771D4" w:rsidRPr="00A12608">
        <w:rPr>
          <w:color w:val="auto"/>
        </w:rPr>
        <w:t>Illumina</w:t>
      </w:r>
      <w:proofErr w:type="spellEnd"/>
      <w:r w:rsidR="00B771D4" w:rsidRPr="00A12608">
        <w:rPr>
          <w:color w:val="auto"/>
        </w:rPr>
        <w:t xml:space="preserve"> NGS data analysis</w:t>
      </w:r>
      <w:r w:rsidRPr="00A12608">
        <w:rPr>
          <w:color w:val="auto"/>
        </w:rPr>
        <w:t>”</w:t>
      </w:r>
    </w:p>
    <w:p w:rsidR="00B771D4" w:rsidRPr="00A12608" w:rsidRDefault="00B771D4" w:rsidP="00B771D4">
      <w:pPr>
        <w:pBdr>
          <w:top w:val="single" w:sz="4" w:space="1" w:color="000000"/>
        </w:pBdr>
        <w:rPr>
          <w:color w:val="auto"/>
        </w:rPr>
      </w:pPr>
    </w:p>
    <w:p w:rsidR="00B771D4" w:rsidRPr="00A12608" w:rsidRDefault="00B771D4" w:rsidP="00B771D4">
      <w:pPr>
        <w:rPr>
          <w:color w:val="auto"/>
          <w:vertAlign w:val="superscript"/>
          <w:lang w:val="it-IT"/>
        </w:rPr>
      </w:pPr>
      <w:r w:rsidRPr="00A12608">
        <w:rPr>
          <w:color w:val="auto"/>
          <w:lang w:val="it-IT"/>
        </w:rPr>
        <w:t>Del Fabbro, C.</w:t>
      </w:r>
      <w:r w:rsidRPr="00A12608">
        <w:rPr>
          <w:color w:val="auto"/>
          <w:vertAlign w:val="superscript"/>
          <w:lang w:val="it-IT"/>
        </w:rPr>
        <w:t>1,☨</w:t>
      </w:r>
      <w:r w:rsidRPr="00A12608">
        <w:rPr>
          <w:color w:val="auto"/>
          <w:lang w:val="it-IT"/>
        </w:rPr>
        <w:t xml:space="preserve"> ; Scalabrin, S.</w:t>
      </w:r>
      <w:r w:rsidRPr="00A12608">
        <w:rPr>
          <w:color w:val="auto"/>
          <w:vertAlign w:val="superscript"/>
          <w:lang w:val="it-IT"/>
        </w:rPr>
        <w:t>2,☨</w:t>
      </w:r>
      <w:r w:rsidRPr="00A12608">
        <w:rPr>
          <w:color w:val="auto"/>
          <w:lang w:val="it-IT"/>
        </w:rPr>
        <w:t>, Morgante, M.</w:t>
      </w:r>
      <w:r w:rsidRPr="00A12608">
        <w:rPr>
          <w:color w:val="auto"/>
          <w:vertAlign w:val="superscript"/>
          <w:lang w:val="it-IT"/>
        </w:rPr>
        <w:t>1</w:t>
      </w:r>
      <w:r w:rsidRPr="00A12608">
        <w:rPr>
          <w:color w:val="auto"/>
          <w:lang w:val="it-IT"/>
        </w:rPr>
        <w:t xml:space="preserve"> and Giorgi F.M.</w:t>
      </w:r>
      <w:r w:rsidRPr="00A12608">
        <w:rPr>
          <w:color w:val="auto"/>
          <w:vertAlign w:val="superscript"/>
          <w:lang w:val="it-IT"/>
        </w:rPr>
        <w:t>1,3*</w:t>
      </w:r>
    </w:p>
    <w:p w:rsidR="00B771D4" w:rsidRPr="00A12608" w:rsidRDefault="00B771D4" w:rsidP="00B771D4">
      <w:pPr>
        <w:rPr>
          <w:color w:val="auto"/>
          <w:vertAlign w:val="superscript"/>
        </w:rPr>
      </w:pPr>
      <w:r w:rsidRPr="00A12608">
        <w:rPr>
          <w:color w:val="auto"/>
          <w:vertAlign w:val="superscript"/>
        </w:rPr>
        <w:t>1</w:t>
      </w:r>
      <w:r w:rsidRPr="00A12608">
        <w:rPr>
          <w:color w:val="auto"/>
        </w:rPr>
        <w:t xml:space="preserve"> Institute of Applied Genomics, 33100, Udine, Italy</w:t>
      </w:r>
    </w:p>
    <w:p w:rsidR="00B771D4" w:rsidRPr="00A12608" w:rsidRDefault="00B771D4" w:rsidP="00B771D4">
      <w:pPr>
        <w:rPr>
          <w:color w:val="auto"/>
          <w:vertAlign w:val="superscript"/>
        </w:rPr>
      </w:pPr>
      <w:r w:rsidRPr="00A12608">
        <w:rPr>
          <w:color w:val="auto"/>
          <w:vertAlign w:val="superscript"/>
        </w:rPr>
        <w:t>2</w:t>
      </w:r>
      <w:r w:rsidRPr="00A12608">
        <w:rPr>
          <w:color w:val="auto"/>
        </w:rPr>
        <w:t xml:space="preserve"> IGA Technology Services, 33100, Udine, Italy</w:t>
      </w:r>
    </w:p>
    <w:p w:rsidR="00B771D4" w:rsidRPr="00A12608" w:rsidRDefault="00B771D4" w:rsidP="00B771D4">
      <w:pPr>
        <w:rPr>
          <w:color w:val="auto"/>
          <w:vertAlign w:val="superscript"/>
        </w:rPr>
      </w:pPr>
      <w:r w:rsidRPr="00A12608">
        <w:rPr>
          <w:color w:val="auto"/>
          <w:vertAlign w:val="superscript"/>
        </w:rPr>
        <w:t>3</w:t>
      </w:r>
      <w:r w:rsidRPr="00A12608">
        <w:rPr>
          <w:color w:val="auto"/>
        </w:rPr>
        <w:t xml:space="preserve"> </w:t>
      </w:r>
      <w:proofErr w:type="gramStart"/>
      <w:r w:rsidRPr="00A12608">
        <w:rPr>
          <w:color w:val="auto"/>
        </w:rPr>
        <w:t>Center</w:t>
      </w:r>
      <w:proofErr w:type="gramEnd"/>
      <w:r w:rsidRPr="00A12608">
        <w:rPr>
          <w:color w:val="auto"/>
        </w:rPr>
        <w:t xml:space="preserve"> for Computational Biology and Bioinformatics, Columbia University, 10032, New York, U.S.A.</w:t>
      </w:r>
    </w:p>
    <w:p w:rsidR="00B771D4" w:rsidRPr="00A12608" w:rsidRDefault="00B771D4" w:rsidP="00B771D4">
      <w:pPr>
        <w:rPr>
          <w:color w:val="auto"/>
          <w:vertAlign w:val="superscript"/>
        </w:rPr>
      </w:pPr>
      <w:r w:rsidRPr="00A12608">
        <w:rPr>
          <w:color w:val="auto"/>
          <w:vertAlign w:val="superscript"/>
        </w:rPr>
        <w:t>*</w:t>
      </w:r>
      <w:r w:rsidRPr="00A12608">
        <w:rPr>
          <w:color w:val="auto"/>
        </w:rPr>
        <w:t>To whom correspondence should be addressed</w:t>
      </w:r>
    </w:p>
    <w:p w:rsidR="00B771D4" w:rsidRPr="00A12608" w:rsidRDefault="00B771D4" w:rsidP="00B771D4">
      <w:pPr>
        <w:rPr>
          <w:color w:val="auto"/>
        </w:rPr>
      </w:pPr>
      <w:r w:rsidRPr="00A12608">
        <w:rPr>
          <w:color w:val="auto"/>
          <w:vertAlign w:val="superscript"/>
        </w:rPr>
        <w:t xml:space="preserve">☨ </w:t>
      </w:r>
      <w:proofErr w:type="gramStart"/>
      <w:r w:rsidRPr="00A12608">
        <w:rPr>
          <w:color w:val="auto"/>
        </w:rPr>
        <w:t>These</w:t>
      </w:r>
      <w:proofErr w:type="gramEnd"/>
      <w:r w:rsidRPr="00A12608">
        <w:rPr>
          <w:color w:val="auto"/>
        </w:rPr>
        <w:t xml:space="preserve"> authors contributed equally</w:t>
      </w:r>
    </w:p>
    <w:p w:rsidR="00B771D4" w:rsidRPr="00A12608" w:rsidRDefault="00B771D4" w:rsidP="00B771D4">
      <w:pPr>
        <w:rPr>
          <w:color w:val="auto"/>
        </w:rPr>
      </w:pPr>
    </w:p>
    <w:p w:rsidR="00C8433E" w:rsidRPr="00A12608" w:rsidRDefault="00C8433E" w:rsidP="00C8433E">
      <w:pPr>
        <w:pStyle w:val="Heading3"/>
        <w:rPr>
          <w:color w:val="auto"/>
        </w:rPr>
      </w:pPr>
      <w:r w:rsidRPr="00A12608">
        <w:rPr>
          <w:color w:val="auto"/>
        </w:rPr>
        <w:t>General analysis of trimmer overlaps</w:t>
      </w:r>
    </w:p>
    <w:p w:rsidR="00747AA5" w:rsidRPr="00A12608" w:rsidRDefault="00C8433E" w:rsidP="00C8433E">
      <w:pPr>
        <w:jc w:val="both"/>
        <w:rPr>
          <w:color w:val="auto"/>
        </w:rPr>
      </w:pPr>
      <w:r w:rsidRPr="00A12608">
        <w:rPr>
          <w:color w:val="auto"/>
        </w:rPr>
        <w:t xml:space="preserve">Similarities and differences not immediately evident by the pure examination of the </w:t>
      </w:r>
      <w:r w:rsidR="00946829" w:rsidRPr="00A12608">
        <w:rPr>
          <w:color w:val="auto"/>
        </w:rPr>
        <w:t xml:space="preserve">trimmer’s </w:t>
      </w:r>
      <w:r w:rsidRPr="00A12608">
        <w:rPr>
          <w:color w:val="auto"/>
        </w:rPr>
        <w:t xml:space="preserve">algorithms were assessed by an unsupervised comparison of the different tools in </w:t>
      </w:r>
      <w:r w:rsidR="00747AA5" w:rsidRPr="00A12608">
        <w:rPr>
          <w:color w:val="auto"/>
        </w:rPr>
        <w:t>all the four</w:t>
      </w:r>
      <w:r w:rsidRPr="00A12608">
        <w:rPr>
          <w:color w:val="auto"/>
        </w:rPr>
        <w:t xml:space="preserve"> datasets. We performed a </w:t>
      </w:r>
      <w:r w:rsidR="00A8257A" w:rsidRPr="00A12608">
        <w:rPr>
          <w:color w:val="auto"/>
        </w:rPr>
        <w:t>pair</w:t>
      </w:r>
      <w:r w:rsidR="00946829" w:rsidRPr="00A12608">
        <w:rPr>
          <w:color w:val="auto"/>
        </w:rPr>
        <w:t>wise</w:t>
      </w:r>
      <w:r w:rsidRPr="00A12608">
        <w:rPr>
          <w:color w:val="auto"/>
        </w:rPr>
        <w:t xml:space="preserve"> comparison</w:t>
      </w:r>
      <w:r w:rsidR="00747AA5" w:rsidRPr="00A12608">
        <w:rPr>
          <w:color w:val="auto"/>
        </w:rPr>
        <w:t xml:space="preserve"> counting the commonly trimmed nucleotide by each pair of tools.</w:t>
      </w:r>
    </w:p>
    <w:p w:rsidR="008420A3" w:rsidRPr="00A12608" w:rsidRDefault="00C8433E" w:rsidP="008420A3">
      <w:pPr>
        <w:jc w:val="both"/>
        <w:rPr>
          <w:color w:val="auto"/>
        </w:rPr>
      </w:pPr>
      <w:r w:rsidRPr="00A12608">
        <w:rPr>
          <w:color w:val="auto"/>
        </w:rPr>
        <w:t xml:space="preserve">The comparison was made processing outputs </w:t>
      </w:r>
      <w:r w:rsidR="00946829" w:rsidRPr="00A12608">
        <w:rPr>
          <w:color w:val="auto"/>
        </w:rPr>
        <w:t xml:space="preserve">obtained </w:t>
      </w:r>
      <w:r w:rsidRPr="00A12608">
        <w:rPr>
          <w:color w:val="auto"/>
        </w:rPr>
        <w:t>with quality value Q set to 20 for each tool (</w:t>
      </w:r>
      <w:proofErr w:type="spellStart"/>
      <w:r w:rsidRPr="00A12608">
        <w:rPr>
          <w:color w:val="auto"/>
        </w:rPr>
        <w:t>ConDeTri</w:t>
      </w:r>
      <w:proofErr w:type="spellEnd"/>
      <w:r w:rsidRPr="00A12608">
        <w:rPr>
          <w:color w:val="auto"/>
        </w:rPr>
        <w:t xml:space="preserve"> requires two values, hence we have used its default values: HQ=25 and LQ=10). In Supplementary Table</w:t>
      </w:r>
      <w:r w:rsidR="004D390A" w:rsidRPr="00A12608">
        <w:rPr>
          <w:color w:val="auto"/>
        </w:rPr>
        <w:t xml:space="preserve">s 1-4 </w:t>
      </w:r>
      <w:r w:rsidRPr="00A12608">
        <w:rPr>
          <w:color w:val="auto"/>
        </w:rPr>
        <w:t>we report</w:t>
      </w:r>
      <w:r w:rsidR="004D390A" w:rsidRPr="00A12608">
        <w:rPr>
          <w:color w:val="auto"/>
        </w:rPr>
        <w:t>ed</w:t>
      </w:r>
      <w:r w:rsidRPr="00A12608">
        <w:rPr>
          <w:color w:val="auto"/>
        </w:rPr>
        <w:t xml:space="preserve"> the percentage of common bases, normalized by the total trimmed bases by each tool (last column)</w:t>
      </w:r>
      <w:r w:rsidR="00747AA5" w:rsidRPr="00A12608">
        <w:rPr>
          <w:color w:val="auto"/>
        </w:rPr>
        <w:t xml:space="preserve"> for every dataset</w:t>
      </w:r>
      <w:r w:rsidRPr="00A12608">
        <w:rPr>
          <w:color w:val="auto"/>
        </w:rPr>
        <w:t xml:space="preserve">. We have </w:t>
      </w:r>
      <w:r w:rsidR="00747AA5" w:rsidRPr="00A12608">
        <w:rPr>
          <w:color w:val="auto"/>
        </w:rPr>
        <w:t>obtained</w:t>
      </w:r>
      <w:r w:rsidRPr="00A12608">
        <w:rPr>
          <w:color w:val="auto"/>
        </w:rPr>
        <w:t xml:space="preserve"> a non-symmetric matrix where each cell represents the percentage of bases trimmed by one tool in common with all</w:t>
      </w:r>
      <w:r w:rsidR="00747AA5" w:rsidRPr="00A12608">
        <w:rPr>
          <w:color w:val="auto"/>
        </w:rPr>
        <w:t xml:space="preserve"> bases trimmed by </w:t>
      </w:r>
      <w:r w:rsidRPr="00A12608">
        <w:rPr>
          <w:color w:val="auto"/>
        </w:rPr>
        <w:t xml:space="preserve">a second tool. By a visual inspection of the matrix we have inferred the relationships summarized in </w:t>
      </w:r>
      <w:r w:rsidR="00946829" w:rsidRPr="00A12608">
        <w:rPr>
          <w:color w:val="auto"/>
        </w:rPr>
        <w:t xml:space="preserve">Supplementary </w:t>
      </w:r>
      <w:r w:rsidRPr="00A12608">
        <w:rPr>
          <w:color w:val="auto"/>
        </w:rPr>
        <w:t>Figure</w:t>
      </w:r>
      <w:r w:rsidR="00946829" w:rsidRPr="00A12608">
        <w:rPr>
          <w:color w:val="auto"/>
        </w:rPr>
        <w:t xml:space="preserve"> 1</w:t>
      </w:r>
      <w:r w:rsidRPr="00A12608">
        <w:rPr>
          <w:color w:val="auto"/>
        </w:rPr>
        <w:t xml:space="preserve">. </w:t>
      </w:r>
      <w:r w:rsidR="00E256D2" w:rsidRPr="00A12608">
        <w:rPr>
          <w:color w:val="auto"/>
        </w:rPr>
        <w:t>In the figure we show</w:t>
      </w:r>
      <w:r w:rsidR="00946829" w:rsidRPr="00A12608">
        <w:rPr>
          <w:color w:val="auto"/>
        </w:rPr>
        <w:t xml:space="preserve"> relationship among the trimmers for each dataset</w:t>
      </w:r>
      <w:r w:rsidR="002B2D65" w:rsidRPr="00A12608">
        <w:rPr>
          <w:color w:val="auto"/>
        </w:rPr>
        <w:t>, in a graph-based representation of inclusion</w:t>
      </w:r>
      <w:r w:rsidR="00946829" w:rsidRPr="00A12608">
        <w:rPr>
          <w:color w:val="auto"/>
        </w:rPr>
        <w:t>.</w:t>
      </w:r>
      <w:r w:rsidR="008420A3" w:rsidRPr="00A12608">
        <w:rPr>
          <w:color w:val="auto"/>
        </w:rPr>
        <w:t xml:space="preserve"> For instance, the arrow from </w:t>
      </w:r>
      <w:proofErr w:type="spellStart"/>
      <w:r w:rsidR="008420A3" w:rsidRPr="00A12608">
        <w:rPr>
          <w:color w:val="auto"/>
        </w:rPr>
        <w:t>Con</w:t>
      </w:r>
      <w:r w:rsidR="00E256D2" w:rsidRPr="00A12608">
        <w:rPr>
          <w:color w:val="auto"/>
        </w:rPr>
        <w:t>D</w:t>
      </w:r>
      <w:r w:rsidR="00354B6E" w:rsidRPr="00A12608">
        <w:rPr>
          <w:color w:val="auto"/>
        </w:rPr>
        <w:t>e</w:t>
      </w:r>
      <w:r w:rsidR="00E256D2" w:rsidRPr="00A12608">
        <w:rPr>
          <w:color w:val="auto"/>
        </w:rPr>
        <w:t>T</w:t>
      </w:r>
      <w:r w:rsidR="00354B6E" w:rsidRPr="00A12608">
        <w:rPr>
          <w:color w:val="auto"/>
        </w:rPr>
        <w:t>ri</w:t>
      </w:r>
      <w:proofErr w:type="spellEnd"/>
      <w:r w:rsidR="00354B6E" w:rsidRPr="00A12608">
        <w:rPr>
          <w:color w:val="auto"/>
        </w:rPr>
        <w:t xml:space="preserve"> to Sickle in Supplementary Figure 1(C)</w:t>
      </w:r>
      <w:r w:rsidR="008420A3" w:rsidRPr="00A12608">
        <w:rPr>
          <w:color w:val="auto"/>
        </w:rPr>
        <w:t xml:space="preserve"> means that at least 90% of the bases trimmed by Sickle are trimmed also b</w:t>
      </w:r>
      <w:r w:rsidR="00354B6E" w:rsidRPr="00A12608">
        <w:rPr>
          <w:color w:val="auto"/>
        </w:rPr>
        <w:t xml:space="preserve">y </w:t>
      </w:r>
      <w:proofErr w:type="spellStart"/>
      <w:r w:rsidR="00354B6E" w:rsidRPr="00A12608">
        <w:rPr>
          <w:color w:val="auto"/>
        </w:rPr>
        <w:t>Con</w:t>
      </w:r>
      <w:r w:rsidR="00C8795F" w:rsidRPr="00A12608">
        <w:rPr>
          <w:color w:val="auto"/>
        </w:rPr>
        <w:t>DeT</w:t>
      </w:r>
      <w:r w:rsidR="00354B6E" w:rsidRPr="00A12608">
        <w:rPr>
          <w:color w:val="auto"/>
        </w:rPr>
        <w:t>ri</w:t>
      </w:r>
      <w:proofErr w:type="spellEnd"/>
      <w:r w:rsidR="00354B6E" w:rsidRPr="00A12608">
        <w:rPr>
          <w:color w:val="auto"/>
        </w:rPr>
        <w:t xml:space="preserve">, but the </w:t>
      </w:r>
      <w:r w:rsidR="008420A3" w:rsidRPr="00A12608">
        <w:rPr>
          <w:color w:val="auto"/>
        </w:rPr>
        <w:t>vice versa</w:t>
      </w:r>
      <w:r w:rsidR="00354B6E" w:rsidRPr="00A12608">
        <w:rPr>
          <w:color w:val="auto"/>
        </w:rPr>
        <w:t xml:space="preserve"> </w:t>
      </w:r>
      <w:proofErr w:type="gramStart"/>
      <w:r w:rsidR="00354B6E" w:rsidRPr="00A12608">
        <w:rPr>
          <w:color w:val="auto"/>
        </w:rPr>
        <w:t>does</w:t>
      </w:r>
      <w:proofErr w:type="gramEnd"/>
      <w:r w:rsidR="00354B6E" w:rsidRPr="00A12608">
        <w:rPr>
          <w:color w:val="auto"/>
        </w:rPr>
        <w:t xml:space="preserve"> not hold</w:t>
      </w:r>
      <w:r w:rsidR="008420A3" w:rsidRPr="00A12608">
        <w:rPr>
          <w:color w:val="auto"/>
        </w:rPr>
        <w:t xml:space="preserve">. Instead, the circle surrounding </w:t>
      </w:r>
      <w:proofErr w:type="spellStart"/>
      <w:r w:rsidR="008420A3" w:rsidRPr="00A12608">
        <w:rPr>
          <w:color w:val="auto"/>
        </w:rPr>
        <w:t>Prinseq</w:t>
      </w:r>
      <w:proofErr w:type="spellEnd"/>
      <w:r w:rsidR="008420A3" w:rsidRPr="00A12608">
        <w:rPr>
          <w:color w:val="auto"/>
        </w:rPr>
        <w:t xml:space="preserve"> and FASTX</w:t>
      </w:r>
      <w:r w:rsidR="00354B6E" w:rsidRPr="00A12608">
        <w:rPr>
          <w:color w:val="auto"/>
        </w:rPr>
        <w:t xml:space="preserve"> in </w:t>
      </w:r>
      <w:r w:rsidR="008420A3" w:rsidRPr="00A12608">
        <w:rPr>
          <w:color w:val="auto"/>
        </w:rPr>
        <w:t xml:space="preserve">Supplementary Figure 1(B) means that 90% of the bases trimmed by </w:t>
      </w:r>
      <w:proofErr w:type="spellStart"/>
      <w:r w:rsidR="008420A3" w:rsidRPr="00A12608">
        <w:rPr>
          <w:color w:val="auto"/>
        </w:rPr>
        <w:t>Prinseq</w:t>
      </w:r>
      <w:proofErr w:type="spellEnd"/>
      <w:r w:rsidR="008420A3" w:rsidRPr="00A12608">
        <w:rPr>
          <w:color w:val="auto"/>
        </w:rPr>
        <w:t xml:space="preserve"> are in common with FASTX and the vice versa also hold (not surprising because the algorithm is the same). The same behavior is evident for </w:t>
      </w:r>
      <w:proofErr w:type="spellStart"/>
      <w:r w:rsidR="008420A3" w:rsidRPr="00A12608">
        <w:rPr>
          <w:color w:val="auto"/>
        </w:rPr>
        <w:t>SolexaQA</w:t>
      </w:r>
      <w:proofErr w:type="spellEnd"/>
      <w:r w:rsidR="008420A3" w:rsidRPr="00A12608">
        <w:rPr>
          <w:color w:val="auto"/>
        </w:rPr>
        <w:t xml:space="preserve">-BWA and </w:t>
      </w:r>
      <w:proofErr w:type="spellStart"/>
      <w:r w:rsidR="008420A3" w:rsidRPr="00A12608">
        <w:rPr>
          <w:color w:val="auto"/>
        </w:rPr>
        <w:t>Cutadapt</w:t>
      </w:r>
      <w:proofErr w:type="spellEnd"/>
      <w:r w:rsidR="008420A3" w:rsidRPr="00A12608">
        <w:rPr>
          <w:color w:val="auto"/>
        </w:rPr>
        <w:t xml:space="preserve"> that implement the same algorithm.</w:t>
      </w:r>
    </w:p>
    <w:p w:rsidR="00D123FD" w:rsidRPr="00A12608" w:rsidRDefault="008420A3" w:rsidP="00C8433E">
      <w:pPr>
        <w:jc w:val="both"/>
        <w:rPr>
          <w:color w:val="auto"/>
        </w:rPr>
      </w:pPr>
      <w:r w:rsidRPr="00A12608">
        <w:rPr>
          <w:color w:val="auto"/>
        </w:rPr>
        <w:t>Mo</w:t>
      </w:r>
      <w:r w:rsidR="00354B6E" w:rsidRPr="00A12608">
        <w:rPr>
          <w:color w:val="auto"/>
        </w:rPr>
        <w:t>re</w:t>
      </w:r>
      <w:r w:rsidRPr="00A12608">
        <w:rPr>
          <w:color w:val="auto"/>
        </w:rPr>
        <w:t xml:space="preserve"> interesting, </w:t>
      </w:r>
      <w:r w:rsidR="00B446EA" w:rsidRPr="00A12608">
        <w:rPr>
          <w:color w:val="auto"/>
        </w:rPr>
        <w:t xml:space="preserve">most </w:t>
      </w:r>
      <w:r w:rsidRPr="00A12608">
        <w:rPr>
          <w:color w:val="auto"/>
        </w:rPr>
        <w:t xml:space="preserve">evident in sub-figures (A) and (C) but </w:t>
      </w:r>
      <w:r w:rsidR="00D123FD" w:rsidRPr="00A12608">
        <w:rPr>
          <w:color w:val="auto"/>
        </w:rPr>
        <w:t>notable also in (B), five trimmers are roughly equivalent and they trim</w:t>
      </w:r>
      <w:r w:rsidR="00451F5D" w:rsidRPr="00A12608">
        <w:rPr>
          <w:color w:val="auto"/>
        </w:rPr>
        <w:t xml:space="preserve"> out,</w:t>
      </w:r>
      <w:r w:rsidR="00D123FD" w:rsidRPr="00A12608">
        <w:rPr>
          <w:color w:val="auto"/>
        </w:rPr>
        <w:t xml:space="preserve"> in most cases</w:t>
      </w:r>
      <w:r w:rsidR="00451F5D" w:rsidRPr="00A12608">
        <w:rPr>
          <w:color w:val="auto"/>
        </w:rPr>
        <w:t>,</w:t>
      </w:r>
      <w:r w:rsidR="00D123FD" w:rsidRPr="00A12608">
        <w:rPr>
          <w:color w:val="auto"/>
        </w:rPr>
        <w:t xml:space="preserve"> the same bases.</w:t>
      </w:r>
      <w:r w:rsidR="00451F5D" w:rsidRPr="00A12608">
        <w:rPr>
          <w:color w:val="auto"/>
        </w:rPr>
        <w:t xml:space="preserve"> Surprising these trimmers implement algorithm “crossing” our naïve algorithm subdivision: three are running </w:t>
      </w:r>
      <w:r w:rsidR="00B446EA" w:rsidRPr="00A12608">
        <w:rPr>
          <w:color w:val="auto"/>
        </w:rPr>
        <w:t xml:space="preserve">sum </w:t>
      </w:r>
      <w:r w:rsidR="00451F5D" w:rsidRPr="00A12608">
        <w:rPr>
          <w:color w:val="auto"/>
        </w:rPr>
        <w:t>based and two are window based algorithms. In the sub</w:t>
      </w:r>
      <w:r w:rsidR="00B446EA" w:rsidRPr="00A12608">
        <w:rPr>
          <w:color w:val="auto"/>
        </w:rPr>
        <w:t>-</w:t>
      </w:r>
      <w:r w:rsidR="00451F5D" w:rsidRPr="00A12608">
        <w:rPr>
          <w:color w:val="auto"/>
        </w:rPr>
        <w:t>figure (D) this correlation are less evident and, due to the high divergence of quality scores</w:t>
      </w:r>
      <w:r w:rsidR="00B446EA" w:rsidRPr="00A12608">
        <w:rPr>
          <w:color w:val="auto"/>
        </w:rPr>
        <w:t xml:space="preserve"> for Human reads</w:t>
      </w:r>
      <w:r w:rsidR="00451F5D" w:rsidRPr="00A12608">
        <w:rPr>
          <w:color w:val="auto"/>
        </w:rPr>
        <w:t>, the peculiarities of each tool became significa</w:t>
      </w:r>
      <w:r w:rsidR="00B446EA" w:rsidRPr="00A12608">
        <w:rPr>
          <w:color w:val="auto"/>
        </w:rPr>
        <w:t>nt.</w:t>
      </w:r>
    </w:p>
    <w:p w:rsidR="00E20916" w:rsidRPr="00A12608" w:rsidRDefault="00E20916">
      <w:pPr>
        <w:suppressAutoHyphens w:val="0"/>
        <w:rPr>
          <w:color w:val="auto"/>
        </w:rPr>
      </w:pPr>
      <w:r w:rsidRPr="00A12608">
        <w:rPr>
          <w:color w:val="auto"/>
        </w:rPr>
        <w:br w:type="page"/>
      </w:r>
    </w:p>
    <w:p w:rsidR="00E20916" w:rsidRPr="00A12608" w:rsidRDefault="00E20916" w:rsidP="00E20916">
      <w:pPr>
        <w:jc w:val="both"/>
        <w:rPr>
          <w:color w:val="auto"/>
          <w:u w:val="single"/>
        </w:rPr>
      </w:pPr>
      <w:r w:rsidRPr="00A12608">
        <w:rPr>
          <w:noProof/>
          <w:color w:val="auto"/>
          <w:u w:val="single"/>
          <w:lang w:eastAsia="en-US"/>
        </w:rPr>
        <w:lastRenderedPageBreak/>
        <w:drawing>
          <wp:inline distT="0" distB="0" distL="0" distR="0" wp14:anchorId="48E9B777" wp14:editId="4930389B">
            <wp:extent cx="6120130" cy="830479"/>
            <wp:effectExtent l="19050" t="0" r="0" b="0"/>
            <wp:docPr id="3" name="Immagine 6" descr="C:\Documents and Settings\delfabbro\Desktop\Selezione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delfabbro\Desktop\Selezione_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0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916" w:rsidRPr="00A12608" w:rsidRDefault="00E20916" w:rsidP="00E20916">
      <w:pPr>
        <w:jc w:val="both"/>
        <w:rPr>
          <w:color w:val="auto"/>
        </w:rPr>
      </w:pPr>
      <w:proofErr w:type="gramStart"/>
      <w:r w:rsidRPr="00A12608">
        <w:rPr>
          <w:color w:val="auto"/>
        </w:rPr>
        <w:t>Table 1.</w:t>
      </w:r>
      <w:proofErr w:type="gramEnd"/>
      <w:r w:rsidRPr="00A12608">
        <w:rPr>
          <w:color w:val="auto"/>
        </w:rPr>
        <w:t xml:space="preserve"> </w:t>
      </w:r>
      <w:proofErr w:type="gramStart"/>
      <w:r w:rsidRPr="00A12608">
        <w:rPr>
          <w:color w:val="auto"/>
        </w:rPr>
        <w:t>Yeast’s overlap values.</w:t>
      </w:r>
      <w:proofErr w:type="gramEnd"/>
      <w:r w:rsidRPr="00A12608">
        <w:rPr>
          <w:color w:val="auto"/>
        </w:rPr>
        <w:t xml:space="preserve"> </w:t>
      </w:r>
      <w:proofErr w:type="gramStart"/>
      <w:r w:rsidRPr="00A12608">
        <w:rPr>
          <w:color w:val="auto"/>
        </w:rPr>
        <w:t>Percentage greater than 90% are</w:t>
      </w:r>
      <w:proofErr w:type="gramEnd"/>
      <w:r w:rsidRPr="00A12608">
        <w:rPr>
          <w:color w:val="auto"/>
        </w:rPr>
        <w:t xml:space="preserve"> bolded.</w:t>
      </w:r>
    </w:p>
    <w:p w:rsidR="00E20916" w:rsidRPr="00A12608" w:rsidRDefault="00E20916" w:rsidP="00E20916">
      <w:pPr>
        <w:jc w:val="both"/>
        <w:rPr>
          <w:color w:val="auto"/>
        </w:rPr>
      </w:pPr>
      <w:r w:rsidRPr="00A12608">
        <w:rPr>
          <w:noProof/>
          <w:color w:val="auto"/>
          <w:lang w:eastAsia="en-US"/>
        </w:rPr>
        <w:drawing>
          <wp:inline distT="0" distB="0" distL="0" distR="0" wp14:anchorId="59F86D1F" wp14:editId="2A7F1DCC">
            <wp:extent cx="6120130" cy="827188"/>
            <wp:effectExtent l="19050" t="0" r="0" b="0"/>
            <wp:docPr id="11" name="Immagine 7" descr="C:\Documents and Settings\delfabbro\Desktop\Selezione_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delfabbro\Desktop\Selezione_0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27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916" w:rsidRPr="00A12608" w:rsidRDefault="00E20916" w:rsidP="00E20916">
      <w:pPr>
        <w:jc w:val="both"/>
        <w:rPr>
          <w:color w:val="auto"/>
        </w:rPr>
      </w:pPr>
      <w:proofErr w:type="gramStart"/>
      <w:r w:rsidRPr="00A12608">
        <w:rPr>
          <w:color w:val="auto"/>
        </w:rPr>
        <w:t>Table 2.</w:t>
      </w:r>
      <w:proofErr w:type="gramEnd"/>
      <w:r w:rsidRPr="00A12608">
        <w:rPr>
          <w:color w:val="auto"/>
        </w:rPr>
        <w:t xml:space="preserve"> </w:t>
      </w:r>
      <w:proofErr w:type="gramStart"/>
      <w:r w:rsidRPr="00A12608">
        <w:rPr>
          <w:color w:val="auto"/>
        </w:rPr>
        <w:t>Arabidopsis’s overlap values.</w:t>
      </w:r>
      <w:proofErr w:type="gramEnd"/>
      <w:r w:rsidRPr="00A12608">
        <w:rPr>
          <w:color w:val="auto"/>
        </w:rPr>
        <w:t xml:space="preserve"> </w:t>
      </w:r>
      <w:proofErr w:type="gramStart"/>
      <w:r w:rsidRPr="00A12608">
        <w:rPr>
          <w:color w:val="auto"/>
        </w:rPr>
        <w:t>Percentage greater than 90% are</w:t>
      </w:r>
      <w:proofErr w:type="gramEnd"/>
      <w:r w:rsidRPr="00A12608">
        <w:rPr>
          <w:color w:val="auto"/>
        </w:rPr>
        <w:t xml:space="preserve"> bolded.</w:t>
      </w:r>
    </w:p>
    <w:p w:rsidR="00E20916" w:rsidRPr="00A12608" w:rsidRDefault="00E20916" w:rsidP="00E20916">
      <w:pPr>
        <w:jc w:val="both"/>
        <w:rPr>
          <w:color w:val="auto"/>
        </w:rPr>
      </w:pPr>
      <w:r w:rsidRPr="00A12608">
        <w:rPr>
          <w:noProof/>
          <w:color w:val="auto"/>
          <w:lang w:eastAsia="en-US"/>
        </w:rPr>
        <w:drawing>
          <wp:inline distT="0" distB="0" distL="0" distR="0" wp14:anchorId="69A6E549" wp14:editId="42B71AFA">
            <wp:extent cx="6120130" cy="830033"/>
            <wp:effectExtent l="19050" t="0" r="0" b="0"/>
            <wp:docPr id="12" name="Immagine 8" descr="C:\Documents and Settings\delfabbro\Desktop\Selezione_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delfabbro\Desktop\Selezione_00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0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916" w:rsidRPr="00A12608" w:rsidRDefault="00E20916" w:rsidP="00E20916">
      <w:pPr>
        <w:jc w:val="both"/>
        <w:rPr>
          <w:color w:val="auto"/>
        </w:rPr>
      </w:pPr>
      <w:proofErr w:type="gramStart"/>
      <w:r w:rsidRPr="00A12608">
        <w:rPr>
          <w:color w:val="auto"/>
        </w:rPr>
        <w:t>Table 3.</w:t>
      </w:r>
      <w:proofErr w:type="gramEnd"/>
      <w:r w:rsidRPr="00A12608">
        <w:rPr>
          <w:color w:val="auto"/>
        </w:rPr>
        <w:t xml:space="preserve"> </w:t>
      </w:r>
      <w:proofErr w:type="gramStart"/>
      <w:r w:rsidRPr="00A12608">
        <w:rPr>
          <w:color w:val="auto"/>
        </w:rPr>
        <w:t>Lovell’s overlap values.</w:t>
      </w:r>
      <w:proofErr w:type="gramEnd"/>
      <w:r w:rsidRPr="00A12608">
        <w:rPr>
          <w:color w:val="auto"/>
        </w:rPr>
        <w:t xml:space="preserve"> </w:t>
      </w:r>
      <w:proofErr w:type="gramStart"/>
      <w:r w:rsidRPr="00A12608">
        <w:rPr>
          <w:color w:val="auto"/>
        </w:rPr>
        <w:t>Percentage greater than 90% are</w:t>
      </w:r>
      <w:proofErr w:type="gramEnd"/>
      <w:r w:rsidRPr="00A12608">
        <w:rPr>
          <w:color w:val="auto"/>
        </w:rPr>
        <w:t xml:space="preserve"> bolded.</w:t>
      </w:r>
    </w:p>
    <w:p w:rsidR="00E20916" w:rsidRPr="00A12608" w:rsidRDefault="00E20916" w:rsidP="00E20916">
      <w:pPr>
        <w:jc w:val="both"/>
        <w:rPr>
          <w:color w:val="auto"/>
        </w:rPr>
      </w:pPr>
      <w:r w:rsidRPr="00A12608">
        <w:rPr>
          <w:noProof/>
          <w:color w:val="auto"/>
          <w:lang w:eastAsia="en-US"/>
        </w:rPr>
        <w:drawing>
          <wp:inline distT="0" distB="0" distL="0" distR="0" wp14:anchorId="0592D386" wp14:editId="6CC961F7">
            <wp:extent cx="6120130" cy="836357"/>
            <wp:effectExtent l="19050" t="0" r="0" b="0"/>
            <wp:docPr id="13" name="Immagine 10" descr="C:\Documents and Settings\delfabbro\Desktop\Selezione_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delfabbro\Desktop\Selezione_00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6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916" w:rsidRPr="00A12608" w:rsidRDefault="00E20916" w:rsidP="00E20916">
      <w:pPr>
        <w:jc w:val="both"/>
        <w:rPr>
          <w:color w:val="auto"/>
        </w:rPr>
      </w:pPr>
      <w:proofErr w:type="gramStart"/>
      <w:r w:rsidRPr="00A12608">
        <w:rPr>
          <w:color w:val="auto"/>
        </w:rPr>
        <w:t>Table 4.</w:t>
      </w:r>
      <w:proofErr w:type="gramEnd"/>
      <w:r w:rsidRPr="00A12608">
        <w:rPr>
          <w:color w:val="auto"/>
        </w:rPr>
        <w:t xml:space="preserve"> </w:t>
      </w:r>
      <w:proofErr w:type="gramStart"/>
      <w:r w:rsidRPr="00A12608">
        <w:rPr>
          <w:color w:val="auto"/>
        </w:rPr>
        <w:t>Human’s overlap values.</w:t>
      </w:r>
      <w:proofErr w:type="gramEnd"/>
      <w:r w:rsidRPr="00A12608">
        <w:rPr>
          <w:color w:val="auto"/>
        </w:rPr>
        <w:t xml:space="preserve"> </w:t>
      </w:r>
      <w:proofErr w:type="gramStart"/>
      <w:r w:rsidRPr="00A12608">
        <w:rPr>
          <w:color w:val="auto"/>
        </w:rPr>
        <w:t>Percentage greater than 90% are</w:t>
      </w:r>
      <w:proofErr w:type="gramEnd"/>
      <w:r w:rsidRPr="00A12608">
        <w:rPr>
          <w:color w:val="auto"/>
        </w:rPr>
        <w:t xml:space="preserve"> bolded.</w:t>
      </w:r>
    </w:p>
    <w:p w:rsidR="00E20916" w:rsidRPr="00A12608" w:rsidRDefault="00E20916">
      <w:pPr>
        <w:suppressAutoHyphens w:val="0"/>
        <w:rPr>
          <w:color w:val="auto"/>
        </w:rPr>
      </w:pPr>
      <w:r w:rsidRPr="00A12608">
        <w:rPr>
          <w:color w:val="auto"/>
        </w:rPr>
        <w:br w:type="page"/>
      </w:r>
    </w:p>
    <w:p w:rsidR="00E20916" w:rsidRPr="00A12608" w:rsidRDefault="00E20916" w:rsidP="00C8433E">
      <w:pPr>
        <w:jc w:val="both"/>
        <w:rPr>
          <w:color w:val="auto"/>
        </w:rPr>
      </w:pPr>
    </w:p>
    <w:p w:rsidR="00374D7E" w:rsidRPr="00A12608" w:rsidRDefault="00374D7E" w:rsidP="00374D7E">
      <w:pPr>
        <w:ind w:left="1136" w:right="1029"/>
        <w:jc w:val="both"/>
        <w:rPr>
          <w:color w:val="auto"/>
          <w:sz w:val="18"/>
          <w:szCs w:val="18"/>
        </w:rPr>
      </w:pPr>
      <w:r w:rsidRPr="00A12608">
        <w:rPr>
          <w:color w:val="auto"/>
          <w:sz w:val="18"/>
          <w:szCs w:val="18"/>
        </w:rPr>
        <w:t xml:space="preserve">        </w:t>
      </w:r>
      <w:r w:rsidR="00C8433E" w:rsidRPr="00A12608">
        <w:rPr>
          <w:noProof/>
          <w:color w:val="auto"/>
          <w:sz w:val="18"/>
          <w:szCs w:val="18"/>
          <w:lang w:eastAsia="en-US"/>
        </w:rPr>
        <w:drawing>
          <wp:inline distT="0" distB="0" distL="0" distR="0" wp14:anchorId="04C039F8" wp14:editId="5D7C8E86">
            <wp:extent cx="1852930" cy="3172460"/>
            <wp:effectExtent l="19050" t="0" r="0" b="0"/>
            <wp:docPr id="1" name="Immagine 1" descr="overlap_ye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verlap_yeas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317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608">
        <w:rPr>
          <w:color w:val="auto"/>
          <w:sz w:val="18"/>
          <w:szCs w:val="18"/>
        </w:rPr>
        <w:t xml:space="preserve">               </w:t>
      </w:r>
      <w:r w:rsidRPr="00A12608">
        <w:rPr>
          <w:noProof/>
          <w:color w:val="auto"/>
          <w:sz w:val="18"/>
          <w:szCs w:val="18"/>
          <w:lang w:eastAsia="en-US"/>
        </w:rPr>
        <w:drawing>
          <wp:inline distT="0" distB="0" distL="0" distR="0" wp14:anchorId="0E7483B3" wp14:editId="26ED156A">
            <wp:extent cx="2011680" cy="3021330"/>
            <wp:effectExtent l="19050" t="0" r="7620" b="0"/>
            <wp:docPr id="5" name="Immagine 3" descr="overlap_lov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verlap_lovel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302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608">
        <w:rPr>
          <w:color w:val="auto"/>
          <w:sz w:val="18"/>
          <w:szCs w:val="18"/>
        </w:rPr>
        <w:t xml:space="preserve">    </w:t>
      </w:r>
    </w:p>
    <w:p w:rsidR="00C8433E" w:rsidRPr="00A12608" w:rsidRDefault="00374D7E" w:rsidP="00374D7E">
      <w:pPr>
        <w:tabs>
          <w:tab w:val="center" w:pos="2880"/>
          <w:tab w:val="center" w:pos="6750"/>
        </w:tabs>
        <w:ind w:right="1029"/>
        <w:jc w:val="both"/>
        <w:rPr>
          <w:color w:val="auto"/>
          <w:sz w:val="18"/>
          <w:szCs w:val="18"/>
        </w:rPr>
      </w:pPr>
      <w:r w:rsidRPr="00A12608">
        <w:rPr>
          <w:color w:val="auto"/>
          <w:sz w:val="18"/>
          <w:szCs w:val="18"/>
        </w:rPr>
        <w:tab/>
        <w:t xml:space="preserve"> (A) </w:t>
      </w:r>
      <w:r w:rsidR="00C8433E" w:rsidRPr="00A12608">
        <w:rPr>
          <w:color w:val="auto"/>
          <w:sz w:val="18"/>
          <w:szCs w:val="18"/>
        </w:rPr>
        <w:t>Yeast</w:t>
      </w:r>
      <w:r w:rsidRPr="00A12608">
        <w:rPr>
          <w:color w:val="auto"/>
          <w:sz w:val="18"/>
          <w:szCs w:val="18"/>
        </w:rPr>
        <w:tab/>
        <w:t>(B) Lovell</w:t>
      </w:r>
    </w:p>
    <w:p w:rsidR="00C8433E" w:rsidRPr="00A12608" w:rsidRDefault="00374D7E" w:rsidP="00C8433E">
      <w:pPr>
        <w:ind w:left="1136" w:right="1029"/>
        <w:jc w:val="both"/>
        <w:rPr>
          <w:color w:val="auto"/>
          <w:sz w:val="18"/>
          <w:szCs w:val="18"/>
        </w:rPr>
      </w:pPr>
      <w:r w:rsidRPr="00A12608">
        <w:rPr>
          <w:noProof/>
          <w:color w:val="auto"/>
          <w:sz w:val="18"/>
          <w:szCs w:val="18"/>
          <w:lang w:eastAsia="en-US"/>
        </w:rPr>
        <w:drawing>
          <wp:inline distT="0" distB="0" distL="0" distR="0" wp14:anchorId="705B3D80" wp14:editId="775347F7">
            <wp:extent cx="2282190" cy="2440940"/>
            <wp:effectExtent l="19050" t="0" r="3810" b="0"/>
            <wp:docPr id="6" name="Immagine 2" descr="overlap_arabidop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verlap_arabidopsi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244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433E" w:rsidRPr="00A12608">
        <w:rPr>
          <w:noProof/>
          <w:color w:val="auto"/>
          <w:sz w:val="18"/>
          <w:szCs w:val="18"/>
          <w:lang w:eastAsia="en-US"/>
        </w:rPr>
        <w:drawing>
          <wp:inline distT="0" distB="0" distL="0" distR="0" wp14:anchorId="50FCC14C" wp14:editId="0B90501D">
            <wp:extent cx="2401570" cy="2449195"/>
            <wp:effectExtent l="19050" t="0" r="0" b="0"/>
            <wp:docPr id="4" name="Immagine 4" descr="overlap_hu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verlap_huma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244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D7E" w:rsidRPr="00A12608" w:rsidRDefault="00374D7E" w:rsidP="00374D7E">
      <w:pPr>
        <w:tabs>
          <w:tab w:val="center" w:pos="2880"/>
          <w:tab w:val="center" w:pos="6750"/>
        </w:tabs>
        <w:ind w:right="1029"/>
        <w:jc w:val="both"/>
        <w:rPr>
          <w:color w:val="auto"/>
          <w:sz w:val="18"/>
          <w:szCs w:val="18"/>
        </w:rPr>
      </w:pPr>
      <w:r w:rsidRPr="00A12608">
        <w:rPr>
          <w:color w:val="auto"/>
          <w:sz w:val="18"/>
          <w:szCs w:val="18"/>
        </w:rPr>
        <w:tab/>
        <w:t>(</w:t>
      </w:r>
      <w:r w:rsidR="008420A3" w:rsidRPr="00A12608">
        <w:rPr>
          <w:color w:val="auto"/>
          <w:sz w:val="18"/>
          <w:szCs w:val="18"/>
        </w:rPr>
        <w:t>C</w:t>
      </w:r>
      <w:r w:rsidRPr="00A12608">
        <w:rPr>
          <w:color w:val="auto"/>
          <w:sz w:val="18"/>
          <w:szCs w:val="18"/>
        </w:rPr>
        <w:t xml:space="preserve">) </w:t>
      </w:r>
      <w:r w:rsidR="00E27BC9" w:rsidRPr="00A12608">
        <w:rPr>
          <w:color w:val="auto"/>
          <w:sz w:val="18"/>
          <w:szCs w:val="18"/>
        </w:rPr>
        <w:t>Arabidopsi</w:t>
      </w:r>
      <w:r w:rsidRPr="00A12608">
        <w:rPr>
          <w:color w:val="auto"/>
          <w:sz w:val="18"/>
          <w:szCs w:val="18"/>
        </w:rPr>
        <w:t>s</w:t>
      </w:r>
      <w:r w:rsidRPr="00A12608">
        <w:rPr>
          <w:color w:val="auto"/>
          <w:sz w:val="18"/>
          <w:szCs w:val="18"/>
        </w:rPr>
        <w:tab/>
        <w:t>(</w:t>
      </w:r>
      <w:r w:rsidR="008420A3" w:rsidRPr="00A12608">
        <w:rPr>
          <w:color w:val="auto"/>
          <w:sz w:val="18"/>
          <w:szCs w:val="18"/>
        </w:rPr>
        <w:t>D</w:t>
      </w:r>
      <w:r w:rsidRPr="00A12608">
        <w:rPr>
          <w:color w:val="auto"/>
          <w:sz w:val="18"/>
          <w:szCs w:val="18"/>
        </w:rPr>
        <w:t>) Human</w:t>
      </w:r>
    </w:p>
    <w:p w:rsidR="00C8433E" w:rsidRPr="00A12608" w:rsidRDefault="00307B99" w:rsidP="00C8433E">
      <w:pPr>
        <w:ind w:left="1136" w:right="1029"/>
        <w:jc w:val="both"/>
        <w:rPr>
          <w:color w:val="auto"/>
        </w:rPr>
      </w:pPr>
      <w:proofErr w:type="gramStart"/>
      <w:r w:rsidRPr="00A12608">
        <w:rPr>
          <w:color w:val="auto"/>
          <w:sz w:val="18"/>
          <w:szCs w:val="18"/>
        </w:rPr>
        <w:t>Figure 1.</w:t>
      </w:r>
      <w:proofErr w:type="gramEnd"/>
      <w:r w:rsidRPr="00A12608">
        <w:rPr>
          <w:color w:val="auto"/>
          <w:sz w:val="18"/>
          <w:szCs w:val="18"/>
        </w:rPr>
        <w:t xml:space="preserve"> </w:t>
      </w:r>
      <w:proofErr w:type="gramStart"/>
      <w:r w:rsidR="00C8433E" w:rsidRPr="00A12608">
        <w:rPr>
          <w:color w:val="auto"/>
          <w:sz w:val="18"/>
          <w:szCs w:val="18"/>
        </w:rPr>
        <w:t>Trimmers</w:t>
      </w:r>
      <w:proofErr w:type="gramEnd"/>
      <w:r w:rsidR="00C8433E" w:rsidRPr="00A12608">
        <w:rPr>
          <w:color w:val="auto"/>
          <w:sz w:val="18"/>
          <w:szCs w:val="18"/>
        </w:rPr>
        <w:t xml:space="preserve"> relationship: an arrow</w:t>
      </w:r>
      <w:r w:rsidR="00374D7E" w:rsidRPr="00A12608">
        <w:rPr>
          <w:color w:val="auto"/>
          <w:sz w:val="18"/>
          <w:szCs w:val="18"/>
        </w:rPr>
        <w:t xml:space="preserve"> from X to Y (X→ Y) means that Y</w:t>
      </w:r>
      <w:r w:rsidR="00C8433E" w:rsidRPr="00A12608">
        <w:rPr>
          <w:color w:val="auto"/>
          <w:sz w:val="18"/>
          <w:szCs w:val="18"/>
        </w:rPr>
        <w:t xml:space="preserve"> is “included” in X. Y is included in X if and only if </w:t>
      </w:r>
      <w:r w:rsidR="00946829" w:rsidRPr="00A12608">
        <w:rPr>
          <w:color w:val="auto"/>
          <w:sz w:val="18"/>
          <w:szCs w:val="18"/>
        </w:rPr>
        <w:t>at least 90% of</w:t>
      </w:r>
      <w:r w:rsidR="00C8433E" w:rsidRPr="00A12608">
        <w:rPr>
          <w:color w:val="auto"/>
          <w:sz w:val="18"/>
          <w:szCs w:val="18"/>
        </w:rPr>
        <w:t xml:space="preserve"> trimmed bases by B is also trimmed by A. Each box represents an amount of trimmed </w:t>
      </w:r>
      <w:proofErr w:type="gramStart"/>
      <w:r w:rsidR="00C8433E" w:rsidRPr="00A12608">
        <w:rPr>
          <w:color w:val="auto"/>
          <w:sz w:val="18"/>
          <w:szCs w:val="18"/>
        </w:rPr>
        <w:t>bases,</w:t>
      </w:r>
      <w:proofErr w:type="gramEnd"/>
      <w:r w:rsidR="00C8433E" w:rsidRPr="00A12608">
        <w:rPr>
          <w:color w:val="auto"/>
          <w:sz w:val="18"/>
          <w:szCs w:val="18"/>
        </w:rPr>
        <w:t xml:space="preserve"> indicate in the top-right corner of each box. Gray ba</w:t>
      </w:r>
      <w:r w:rsidR="00374D7E" w:rsidRPr="00A12608">
        <w:rPr>
          <w:color w:val="auto"/>
          <w:sz w:val="18"/>
          <w:szCs w:val="18"/>
        </w:rPr>
        <w:t>ckgrounds represent window based</w:t>
      </w:r>
      <w:r w:rsidR="00C8433E" w:rsidRPr="00A12608">
        <w:rPr>
          <w:color w:val="auto"/>
          <w:sz w:val="18"/>
          <w:szCs w:val="18"/>
        </w:rPr>
        <w:t xml:space="preserve"> tools, while white backgrounds represent </w:t>
      </w:r>
      <w:r w:rsidR="00374D7E" w:rsidRPr="00A12608">
        <w:rPr>
          <w:color w:val="auto"/>
          <w:sz w:val="18"/>
          <w:szCs w:val="18"/>
        </w:rPr>
        <w:t>running</w:t>
      </w:r>
      <w:r w:rsidR="00C8433E" w:rsidRPr="00A12608">
        <w:rPr>
          <w:color w:val="auto"/>
          <w:sz w:val="18"/>
          <w:szCs w:val="18"/>
        </w:rPr>
        <w:t xml:space="preserve"> sums based programs. If a pair (or more) of trimmers </w:t>
      </w:r>
      <w:r w:rsidR="004D390A" w:rsidRPr="00A12608">
        <w:rPr>
          <w:color w:val="auto"/>
          <w:sz w:val="18"/>
          <w:szCs w:val="18"/>
        </w:rPr>
        <w:t xml:space="preserve">can be </w:t>
      </w:r>
      <w:r w:rsidR="00C8433E" w:rsidRPr="00A12608">
        <w:rPr>
          <w:color w:val="auto"/>
          <w:sz w:val="18"/>
          <w:szCs w:val="18"/>
        </w:rPr>
        <w:t>connected with a bidirectional arrow (hence X→ Y and Y→ X) they are collapsed together in a surrounding circle</w:t>
      </w:r>
      <w:r w:rsidR="00946829" w:rsidRPr="00A12608">
        <w:rPr>
          <w:color w:val="auto"/>
          <w:sz w:val="18"/>
          <w:szCs w:val="18"/>
        </w:rPr>
        <w:t>.</w:t>
      </w:r>
    </w:p>
    <w:p w:rsidR="00C8433E" w:rsidRPr="00A12608" w:rsidRDefault="00C8433E" w:rsidP="00C8433E">
      <w:pPr>
        <w:rPr>
          <w:color w:val="auto"/>
        </w:rPr>
      </w:pPr>
    </w:p>
    <w:sectPr w:rsidR="00C8433E" w:rsidRPr="00A12608" w:rsidSect="00451F5D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155C98"/>
    <w:multiLevelType w:val="hybridMultilevel"/>
    <w:tmpl w:val="C7C8B9AA"/>
    <w:lvl w:ilvl="0" w:tplc="6C102C74">
      <w:start w:val="1"/>
      <w:numFmt w:val="upperLetter"/>
      <w:lvlText w:val="(%1)"/>
      <w:lvlJc w:val="left"/>
      <w:pPr>
        <w:ind w:left="26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">
    <w:nsid w:val="289106AA"/>
    <w:multiLevelType w:val="hybridMultilevel"/>
    <w:tmpl w:val="CFD6CAD4"/>
    <w:lvl w:ilvl="0" w:tplc="D54AF7D8">
      <w:start w:val="1"/>
      <w:numFmt w:val="upperLetter"/>
      <w:lvlText w:val="(%1)"/>
      <w:lvlJc w:val="left"/>
      <w:pPr>
        <w:ind w:left="26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5" w:hanging="360"/>
      </w:pPr>
    </w:lvl>
    <w:lvl w:ilvl="2" w:tplc="0410001B" w:tentative="1">
      <w:start w:val="1"/>
      <w:numFmt w:val="lowerRoman"/>
      <w:lvlText w:val="%3."/>
      <w:lvlJc w:val="right"/>
      <w:pPr>
        <w:ind w:left="4095" w:hanging="180"/>
      </w:pPr>
    </w:lvl>
    <w:lvl w:ilvl="3" w:tplc="0410000F" w:tentative="1">
      <w:start w:val="1"/>
      <w:numFmt w:val="decimal"/>
      <w:lvlText w:val="%4."/>
      <w:lvlJc w:val="left"/>
      <w:pPr>
        <w:ind w:left="4815" w:hanging="360"/>
      </w:pPr>
    </w:lvl>
    <w:lvl w:ilvl="4" w:tplc="04100019" w:tentative="1">
      <w:start w:val="1"/>
      <w:numFmt w:val="lowerLetter"/>
      <w:lvlText w:val="%5."/>
      <w:lvlJc w:val="left"/>
      <w:pPr>
        <w:ind w:left="5535" w:hanging="360"/>
      </w:pPr>
    </w:lvl>
    <w:lvl w:ilvl="5" w:tplc="0410001B" w:tentative="1">
      <w:start w:val="1"/>
      <w:numFmt w:val="lowerRoman"/>
      <w:lvlText w:val="%6."/>
      <w:lvlJc w:val="right"/>
      <w:pPr>
        <w:ind w:left="6255" w:hanging="180"/>
      </w:pPr>
    </w:lvl>
    <w:lvl w:ilvl="6" w:tplc="0410000F" w:tentative="1">
      <w:start w:val="1"/>
      <w:numFmt w:val="decimal"/>
      <w:lvlText w:val="%7."/>
      <w:lvlJc w:val="left"/>
      <w:pPr>
        <w:ind w:left="6975" w:hanging="360"/>
      </w:pPr>
    </w:lvl>
    <w:lvl w:ilvl="7" w:tplc="04100019" w:tentative="1">
      <w:start w:val="1"/>
      <w:numFmt w:val="lowerLetter"/>
      <w:lvlText w:val="%8."/>
      <w:lvlJc w:val="left"/>
      <w:pPr>
        <w:ind w:left="7695" w:hanging="360"/>
      </w:pPr>
    </w:lvl>
    <w:lvl w:ilvl="8" w:tplc="0410001B" w:tentative="1">
      <w:start w:val="1"/>
      <w:numFmt w:val="lowerRoman"/>
      <w:lvlText w:val="%9."/>
      <w:lvlJc w:val="right"/>
      <w:pPr>
        <w:ind w:left="841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6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71D4"/>
    <w:rsid w:val="000840F3"/>
    <w:rsid w:val="001161BB"/>
    <w:rsid w:val="002B2D65"/>
    <w:rsid w:val="00307B99"/>
    <w:rsid w:val="00354B6E"/>
    <w:rsid w:val="00374D7E"/>
    <w:rsid w:val="00386F04"/>
    <w:rsid w:val="00407E91"/>
    <w:rsid w:val="0042751F"/>
    <w:rsid w:val="00451F5D"/>
    <w:rsid w:val="004D390A"/>
    <w:rsid w:val="006123F3"/>
    <w:rsid w:val="00640BA1"/>
    <w:rsid w:val="0073157D"/>
    <w:rsid w:val="00747AA5"/>
    <w:rsid w:val="008420A3"/>
    <w:rsid w:val="0085121F"/>
    <w:rsid w:val="008D5E73"/>
    <w:rsid w:val="00946829"/>
    <w:rsid w:val="00A12608"/>
    <w:rsid w:val="00A623C5"/>
    <w:rsid w:val="00A82367"/>
    <w:rsid w:val="00A8257A"/>
    <w:rsid w:val="00A973C9"/>
    <w:rsid w:val="00B446EA"/>
    <w:rsid w:val="00B771D4"/>
    <w:rsid w:val="00BE1382"/>
    <w:rsid w:val="00C8433E"/>
    <w:rsid w:val="00C8795F"/>
    <w:rsid w:val="00D123FD"/>
    <w:rsid w:val="00E20916"/>
    <w:rsid w:val="00E256D2"/>
    <w:rsid w:val="00E27BC9"/>
    <w:rsid w:val="00F23C82"/>
    <w:rsid w:val="00F5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1D4"/>
    <w:pPr>
      <w:suppressAutoHyphens/>
    </w:pPr>
    <w:rPr>
      <w:rFonts w:ascii="Times New Roman" w:eastAsia="Times New Roman" w:hAnsi="Times New Roman" w:cs="Times New Roman"/>
      <w:color w:val="000000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E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8433E"/>
    <w:pPr>
      <w:numPr>
        <w:ilvl w:val="2"/>
        <w:numId w:val="1"/>
      </w:numPr>
      <w:spacing w:before="200" w:after="0"/>
      <w:ind w:left="0" w:firstLine="0"/>
      <w:outlineLvl w:val="2"/>
    </w:pPr>
    <w:rPr>
      <w:rFonts w:ascii="Cambria" w:eastAsia="Cambria" w:hAnsi="Cambria" w:cs="Cambria"/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Normal"/>
    <w:rsid w:val="00B771D4"/>
    <w:pPr>
      <w:spacing w:after="300" w:line="240" w:lineRule="auto"/>
    </w:pPr>
    <w:rPr>
      <w:color w:val="17365D"/>
      <w:sz w:val="56"/>
    </w:rPr>
  </w:style>
  <w:style w:type="character" w:customStyle="1" w:styleId="Heading3Char">
    <w:name w:val="Heading 3 Char"/>
    <w:basedOn w:val="DefaultParagraphFont"/>
    <w:link w:val="Heading3"/>
    <w:rsid w:val="00C8433E"/>
    <w:rPr>
      <w:rFonts w:ascii="Cambria" w:eastAsia="Cambria" w:hAnsi="Cambria" w:cs="Cambria"/>
      <w:b/>
      <w:color w:val="4F81BD"/>
      <w:lang w:val="en-US" w:eastAsia="zh-CN"/>
    </w:rPr>
  </w:style>
  <w:style w:type="character" w:styleId="CommentReference">
    <w:name w:val="annotation reference"/>
    <w:rsid w:val="00C843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43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433E"/>
    <w:rPr>
      <w:rFonts w:ascii="Times New Roman" w:eastAsia="Times New Roman" w:hAnsi="Times New Roman" w:cs="Times New Roman"/>
      <w:color w:val="00000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33E"/>
    <w:rPr>
      <w:rFonts w:ascii="Tahoma" w:eastAsia="Times New Roman" w:hAnsi="Tahoma" w:cs="Tahoma"/>
      <w:color w:val="000000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374D7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9A8"/>
    <w:rPr>
      <w:rFonts w:ascii="Times New Roman" w:eastAsia="Times New Roman" w:hAnsi="Times New Roman" w:cs="Times New Roman"/>
      <w:b/>
      <w:bCs/>
      <w:color w:val="000000"/>
      <w:sz w:val="20"/>
      <w:szCs w:val="20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407E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FA105-C3B2-40E5-BFBC-7D48001A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di Genomica Applicata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Del Fabbro</dc:creator>
  <cp:keywords/>
  <dc:description/>
  <cp:lastModifiedBy>Columbia University</cp:lastModifiedBy>
  <cp:revision>26</cp:revision>
  <dcterms:created xsi:type="dcterms:W3CDTF">2013-07-11T07:31:00Z</dcterms:created>
  <dcterms:modified xsi:type="dcterms:W3CDTF">2013-12-02T05:06:00Z</dcterms:modified>
</cp:coreProperties>
</file>