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4" w:rsidRPr="004B154B" w:rsidRDefault="005E6344" w:rsidP="005E6344">
      <w:pPr>
        <w:pStyle w:val="Caption"/>
        <w:rPr>
          <w:rFonts w:ascii="Arial" w:hAnsi="Arial"/>
          <w:b w:val="0"/>
          <w:color w:val="000000" w:themeColor="text1"/>
          <w:sz w:val="24"/>
        </w:rPr>
      </w:pPr>
      <w:r w:rsidRPr="004B154B">
        <w:rPr>
          <w:rFonts w:ascii="Arial" w:hAnsi="Arial"/>
          <w:color w:val="000000" w:themeColor="text1"/>
          <w:sz w:val="24"/>
        </w:rPr>
        <w:t>Table S</w:t>
      </w:r>
      <w:r>
        <w:rPr>
          <w:rFonts w:ascii="Arial" w:hAnsi="Arial"/>
          <w:color w:val="000000" w:themeColor="text1"/>
          <w:sz w:val="24"/>
        </w:rPr>
        <w:t>7</w:t>
      </w:r>
      <w:r w:rsidRPr="004B154B">
        <w:rPr>
          <w:rFonts w:ascii="Arial" w:hAnsi="Arial"/>
          <w:color w:val="000000" w:themeColor="text1"/>
          <w:sz w:val="24"/>
        </w:rPr>
        <w:t>.</w:t>
      </w:r>
      <w:r w:rsidRPr="004B154B">
        <w:rPr>
          <w:rFonts w:ascii="Arial" w:hAnsi="Arial"/>
        </w:rPr>
        <w:t xml:space="preserve"> </w:t>
      </w:r>
      <w:r>
        <w:rPr>
          <w:rFonts w:ascii="Arial" w:hAnsi="Arial"/>
          <w:b w:val="0"/>
          <w:color w:val="000000" w:themeColor="text1"/>
          <w:sz w:val="24"/>
        </w:rPr>
        <w:t>Robustness checks l</w:t>
      </w:r>
      <w:r w:rsidRPr="004B154B">
        <w:rPr>
          <w:rFonts w:ascii="Arial" w:hAnsi="Arial"/>
          <w:b w:val="0"/>
          <w:color w:val="000000" w:themeColor="text1"/>
          <w:sz w:val="24"/>
        </w:rPr>
        <w:t>ogistic regression results</w:t>
      </w:r>
      <w:r>
        <w:rPr>
          <w:rFonts w:ascii="Arial" w:hAnsi="Arial"/>
          <w:b w:val="0"/>
          <w:color w:val="000000" w:themeColor="text1"/>
          <w:sz w:val="24"/>
        </w:rPr>
        <w:t>. These results were used</w:t>
      </w:r>
      <w:r w:rsidRPr="004B154B">
        <w:rPr>
          <w:rFonts w:ascii="Arial" w:hAnsi="Arial"/>
          <w:b w:val="0"/>
          <w:color w:val="000000" w:themeColor="text1"/>
          <w:sz w:val="24"/>
        </w:rPr>
        <w:t xml:space="preserve"> </w:t>
      </w:r>
      <w:r>
        <w:rPr>
          <w:rFonts w:ascii="Arial" w:hAnsi="Arial"/>
          <w:b w:val="0"/>
          <w:color w:val="000000" w:themeColor="text1"/>
          <w:sz w:val="24"/>
        </w:rPr>
        <w:t>to evaluate</w:t>
      </w:r>
      <w:r w:rsidRPr="004B154B">
        <w:rPr>
          <w:rFonts w:ascii="Arial" w:hAnsi="Arial"/>
          <w:b w:val="0"/>
          <w:color w:val="000000"/>
          <w:sz w:val="24"/>
        </w:rPr>
        <w:t xml:space="preserve"> </w:t>
      </w:r>
      <w:r>
        <w:rPr>
          <w:rFonts w:ascii="Arial" w:hAnsi="Arial"/>
          <w:b w:val="0"/>
          <w:color w:val="000000"/>
          <w:sz w:val="24"/>
        </w:rPr>
        <w:t>whether</w:t>
      </w:r>
      <w:r w:rsidRPr="004B154B">
        <w:rPr>
          <w:rFonts w:ascii="Arial" w:hAnsi="Arial"/>
          <w:b w:val="0"/>
          <w:color w:val="000000"/>
          <w:sz w:val="24"/>
        </w:rPr>
        <w:t xml:space="preserve"> the propensity score is significantly associated with pathogen presence in </w:t>
      </w:r>
      <w:r w:rsidRPr="004B154B">
        <w:rPr>
          <w:rFonts w:ascii="Arial" w:hAnsi="Arial"/>
          <w:b w:val="0"/>
          <w:color w:val="000000" w:themeColor="text1"/>
          <w:sz w:val="24"/>
        </w:rPr>
        <w:t>original case-control</w:t>
      </w:r>
      <w:r>
        <w:rPr>
          <w:rFonts w:ascii="Arial" w:hAnsi="Arial"/>
          <w:b w:val="0"/>
          <w:color w:val="000000" w:themeColor="text1"/>
          <w:sz w:val="24"/>
        </w:rPr>
        <w:t xml:space="preserve"> analysis</w:t>
      </w:r>
      <w:r w:rsidRPr="004B154B">
        <w:rPr>
          <w:rFonts w:ascii="Arial" w:hAnsi="Arial"/>
          <w:b w:val="0"/>
          <w:color w:val="000000" w:themeColor="text1"/>
          <w:sz w:val="24"/>
        </w:rPr>
        <w:t>,</w:t>
      </w:r>
      <w:r>
        <w:rPr>
          <w:rFonts w:ascii="Arial" w:hAnsi="Arial"/>
          <w:b w:val="0"/>
          <w:color w:val="000000" w:themeColor="text1"/>
          <w:sz w:val="24"/>
        </w:rPr>
        <w:t xml:space="preserve"> </w:t>
      </w:r>
      <w:r w:rsidRPr="004B154B">
        <w:rPr>
          <w:rFonts w:ascii="Arial" w:hAnsi="Arial"/>
          <w:b w:val="0"/>
          <w:color w:val="000000"/>
          <w:sz w:val="24"/>
        </w:rPr>
        <w:t xml:space="preserve">control </w:t>
      </w:r>
      <w:r>
        <w:rPr>
          <w:rFonts w:ascii="Arial" w:hAnsi="Arial"/>
          <w:b w:val="0"/>
          <w:color w:val="000000" w:themeColor="text1"/>
          <w:sz w:val="24"/>
        </w:rPr>
        <w:t xml:space="preserve">households </w:t>
      </w:r>
      <w:r w:rsidRPr="004B154B">
        <w:rPr>
          <w:rFonts w:ascii="Arial" w:hAnsi="Arial"/>
          <w:b w:val="0"/>
          <w:color w:val="000000"/>
          <w:sz w:val="24"/>
        </w:rPr>
        <w:t>(N = 111</w:t>
      </w:r>
      <w:r>
        <w:rPr>
          <w:rFonts w:ascii="Arial" w:hAnsi="Arial"/>
          <w:b w:val="0"/>
          <w:color w:val="000000"/>
          <w:sz w:val="24"/>
        </w:rPr>
        <w:t xml:space="preserve"> control </w:t>
      </w:r>
      <w:r>
        <w:rPr>
          <w:rFonts w:ascii="Arial" w:hAnsi="Arial"/>
          <w:b w:val="0"/>
          <w:color w:val="000000" w:themeColor="text1"/>
          <w:sz w:val="24"/>
        </w:rPr>
        <w:t>households</w:t>
      </w:r>
      <w:r w:rsidRPr="004B154B">
        <w:rPr>
          <w:rFonts w:ascii="Arial" w:hAnsi="Arial"/>
          <w:b w:val="0"/>
          <w:color w:val="000000"/>
          <w:sz w:val="24"/>
        </w:rPr>
        <w:t xml:space="preserve">). </w:t>
      </w:r>
    </w:p>
    <w:tbl>
      <w:tblPr>
        <w:tblW w:w="9270" w:type="dxa"/>
        <w:tblInd w:w="108" w:type="dxa"/>
        <w:tblLayout w:type="fixed"/>
        <w:tblLook w:val="0000"/>
      </w:tblPr>
      <w:tblGrid>
        <w:gridCol w:w="1530"/>
        <w:gridCol w:w="1170"/>
        <w:gridCol w:w="1440"/>
        <w:gridCol w:w="1260"/>
        <w:gridCol w:w="1440"/>
        <w:gridCol w:w="1350"/>
        <w:gridCol w:w="1080"/>
      </w:tblGrid>
      <w:tr w:rsidR="005E6344" w:rsidRPr="004B154B" w:rsidTr="007C60FC">
        <w:trPr>
          <w:trHeight w:val="280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bCs/>
                <w:sz w:val="20"/>
                <w:szCs w:val="20"/>
              </w:rPr>
              <w:t>HANDS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bCs/>
                <w:sz w:val="20"/>
                <w:szCs w:val="20"/>
              </w:rPr>
              <w:t>STORED WATER</w:t>
            </w:r>
          </w:p>
        </w:tc>
      </w:tr>
      <w:tr w:rsidR="005E6344" w:rsidRPr="004B154B" w:rsidTr="007C60FC">
        <w:trPr>
          <w:trHeight w:val="162"/>
        </w:trPr>
        <w:tc>
          <w:tcPr>
            <w:tcW w:w="153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E6344" w:rsidRPr="004B154B" w:rsidRDefault="005E6344" w:rsidP="008B7C8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sz w:val="20"/>
                <w:szCs w:val="20"/>
              </w:rPr>
              <w:t>ß</w:t>
            </w:r>
            <w:r w:rsidRPr="00F77F52">
              <w:rPr>
                <w:rFonts w:ascii="Arial" w:hAnsi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sz w:val="20"/>
                <w:szCs w:val="20"/>
              </w:rPr>
              <w:t>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344" w:rsidRPr="004B154B" w:rsidRDefault="005E6344" w:rsidP="008B521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sz w:val="20"/>
                <w:szCs w:val="20"/>
              </w:rPr>
              <w:t>ß</w:t>
            </w:r>
            <w:r w:rsidRPr="00F77F52">
              <w:rPr>
                <w:rFonts w:ascii="Arial" w:hAnsi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sz w:val="20"/>
                <w:szCs w:val="20"/>
              </w:rPr>
              <w:t>OR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B154B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ECVG</w:t>
            </w:r>
            <w:r w:rsidRPr="004B154B"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2.79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16.32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C36855" w:rsidRDefault="005E6344" w:rsidP="00AF6358">
            <w:pPr>
              <w:jc w:val="center"/>
              <w:rPr>
                <w:rFonts w:ascii="Arial" w:hAnsi="Arial"/>
                <w:bCs/>
                <w:sz w:val="20"/>
                <w:szCs w:val="20"/>
                <w:vertAlign w:val="superscript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0.04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-2.61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0.07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ipaH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2.03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7.60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-1.50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0.30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aggR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2.48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11.90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-1.45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0.32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Lt1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-1.22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0.30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-0.56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0.57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0.76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STIb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1.22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3.40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-1.74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0.75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eaeA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7.19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1321.21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C36855" w:rsidRDefault="005E6344" w:rsidP="00AF6358">
            <w:pPr>
              <w:jc w:val="center"/>
              <w:rPr>
                <w:rFonts w:ascii="Arial" w:hAnsi="Arial"/>
                <w:bCs/>
                <w:sz w:val="20"/>
                <w:szCs w:val="20"/>
                <w:vertAlign w:val="superscript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0.01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-1.53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0.44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stx1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-1.07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0.34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-1.99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0.19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stx2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3.88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48.44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0.50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-13.56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0.15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Enteric Virus</w:t>
            </w:r>
            <w:r w:rsidRPr="004B154B">
              <w:rPr>
                <w:rFonts w:ascii="Arial" w:hAnsi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1.59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3.20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24.62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0.45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Rotavirus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1.91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6.73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Adenovirus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-0.59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0.56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0.86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3.20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24.62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0.45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Enterovirus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1.28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3.61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5E6344" w:rsidRPr="004B154B" w:rsidTr="007C60FC">
        <w:trPr>
          <w:trHeight w:val="260"/>
        </w:trPr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 xml:space="preserve">Human </w:t>
            </w:r>
            <w:r w:rsidRPr="004B154B">
              <w:rPr>
                <w:rFonts w:ascii="Arial" w:hAnsi="Arial"/>
                <w:i/>
                <w:iCs/>
                <w:sz w:val="20"/>
                <w:szCs w:val="20"/>
              </w:rPr>
              <w:t>Bacteroidales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-0.06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4B">
              <w:rPr>
                <w:rFonts w:ascii="Arial" w:hAnsi="Arial"/>
                <w:sz w:val="20"/>
                <w:szCs w:val="20"/>
              </w:rPr>
              <w:t>0.96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-4.96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E6344" w:rsidRPr="004B154B" w:rsidRDefault="005E6344" w:rsidP="00AF635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4B154B">
              <w:rPr>
                <w:rFonts w:ascii="Arial" w:hAnsi="Arial"/>
                <w:bCs/>
                <w:sz w:val="20"/>
                <w:szCs w:val="20"/>
              </w:rPr>
              <w:t>0.03</w:t>
            </w:r>
          </w:p>
        </w:tc>
      </w:tr>
    </w:tbl>
    <w:p w:rsidR="005E6344" w:rsidRPr="004B154B" w:rsidRDefault="005E6344" w:rsidP="005E6344">
      <w:pPr>
        <w:rPr>
          <w:rFonts w:ascii="Arial" w:hAnsi="Arial"/>
          <w:color w:val="000000"/>
          <w:sz w:val="20"/>
        </w:rPr>
      </w:pPr>
      <w:r w:rsidRPr="004B154B">
        <w:rPr>
          <w:rFonts w:ascii="Arial" w:hAnsi="Arial"/>
          <w:color w:val="000000"/>
          <w:sz w:val="20"/>
        </w:rPr>
        <w:t xml:space="preserve">a At least one of the seven pathogenic </w:t>
      </w:r>
      <w:r w:rsidRPr="004B154B">
        <w:rPr>
          <w:rFonts w:ascii="Arial" w:hAnsi="Arial"/>
          <w:i/>
          <w:color w:val="000000"/>
          <w:sz w:val="20"/>
        </w:rPr>
        <w:t>E. coli</w:t>
      </w:r>
      <w:r w:rsidRPr="004B154B">
        <w:rPr>
          <w:rFonts w:ascii="Arial" w:hAnsi="Arial"/>
          <w:color w:val="000000"/>
          <w:sz w:val="20"/>
        </w:rPr>
        <w:t xml:space="preserve"> virulence genes (ECVG) measured present</w:t>
      </w:r>
    </w:p>
    <w:p w:rsidR="005E6344" w:rsidRPr="004B154B" w:rsidRDefault="005E6344" w:rsidP="005E6344">
      <w:pPr>
        <w:rPr>
          <w:rFonts w:ascii="Arial" w:hAnsi="Arial"/>
          <w:color w:val="000000"/>
          <w:sz w:val="20"/>
        </w:rPr>
      </w:pPr>
      <w:r w:rsidRPr="004B154B">
        <w:rPr>
          <w:rFonts w:ascii="Arial" w:hAnsi="Arial"/>
          <w:color w:val="000000"/>
          <w:sz w:val="20"/>
        </w:rPr>
        <w:t>b At least one of the three enteric virus</w:t>
      </w:r>
      <w:r>
        <w:rPr>
          <w:rFonts w:ascii="Arial" w:hAnsi="Arial"/>
          <w:color w:val="000000"/>
          <w:sz w:val="20"/>
        </w:rPr>
        <w:t xml:space="preserve"> genes </w:t>
      </w:r>
      <w:r w:rsidRPr="004B154B">
        <w:rPr>
          <w:rFonts w:ascii="Arial" w:hAnsi="Arial"/>
          <w:color w:val="000000"/>
          <w:sz w:val="20"/>
        </w:rPr>
        <w:t>measured (rotavirus, adenovirus, enterovirus) present</w:t>
      </w:r>
    </w:p>
    <w:p w:rsidR="005E6344" w:rsidRDefault="005E6344" w:rsidP="005E6344">
      <w:pPr>
        <w:rPr>
          <w:rFonts w:ascii="Arial" w:hAnsi="Arial"/>
          <w:color w:val="000000"/>
          <w:sz w:val="20"/>
        </w:rPr>
      </w:pPr>
      <w:r w:rsidRPr="004B154B">
        <w:rPr>
          <w:rFonts w:ascii="Arial" w:hAnsi="Arial"/>
          <w:color w:val="000000"/>
          <w:sz w:val="20"/>
        </w:rPr>
        <w:t xml:space="preserve">(-): Analysis was not possible due to lack of </w:t>
      </w:r>
      <w:r>
        <w:rPr>
          <w:rFonts w:ascii="Arial" w:hAnsi="Arial"/>
          <w:color w:val="000000"/>
          <w:sz w:val="20"/>
        </w:rPr>
        <w:t>viral</w:t>
      </w:r>
      <w:r w:rsidRPr="004B154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gene </w:t>
      </w:r>
      <w:r w:rsidRPr="004B154B">
        <w:rPr>
          <w:rFonts w:ascii="Arial" w:hAnsi="Arial"/>
          <w:color w:val="000000"/>
          <w:sz w:val="20"/>
        </w:rPr>
        <w:t>presence in sample type</w:t>
      </w:r>
    </w:p>
    <w:p w:rsidR="005E6344" w:rsidRPr="00CF2D53" w:rsidRDefault="005E6344" w:rsidP="005E6344">
      <w:pPr>
        <w:rPr>
          <w:rFonts w:ascii="Arial" w:hAnsi="Arial"/>
          <w:color w:val="000000"/>
          <w:sz w:val="20"/>
        </w:rPr>
      </w:pPr>
      <w:r w:rsidRPr="00442708">
        <w:rPr>
          <w:rFonts w:ascii="Arial" w:hAnsi="Arial"/>
          <w:color w:val="000000"/>
          <w:sz w:val="20"/>
          <w:vertAlign w:val="superscript"/>
        </w:rPr>
        <w:t xml:space="preserve">† </w:t>
      </w:r>
      <w:r w:rsidRPr="00442708">
        <w:rPr>
          <w:rFonts w:ascii="Arial" w:hAnsi="Arial"/>
          <w:color w:val="000000"/>
          <w:sz w:val="20"/>
        </w:rPr>
        <w:t>Statistically significant (p ≤ 0.0</w:t>
      </w:r>
      <w:r>
        <w:rPr>
          <w:rFonts w:ascii="Arial" w:hAnsi="Arial"/>
          <w:color w:val="000000"/>
          <w:sz w:val="20"/>
        </w:rPr>
        <w:t>5</w:t>
      </w:r>
      <w:r w:rsidRPr="00442708">
        <w:rPr>
          <w:rFonts w:ascii="Arial" w:hAnsi="Arial"/>
          <w:color w:val="000000"/>
          <w:sz w:val="20"/>
        </w:rPr>
        <w:t>)</w:t>
      </w:r>
    </w:p>
    <w:p w:rsidR="005E6344" w:rsidRDefault="005E6344" w:rsidP="005E6344">
      <w:pPr>
        <w:rPr>
          <w:rFonts w:ascii="Arial" w:hAnsi="Arial"/>
          <w:sz w:val="20"/>
          <w:szCs w:val="20"/>
        </w:rPr>
      </w:pPr>
      <w:r w:rsidRPr="00F77F52">
        <w:rPr>
          <w:rFonts w:ascii="Arial" w:hAnsi="Arial"/>
          <w:sz w:val="20"/>
          <w:szCs w:val="20"/>
          <w:vertAlign w:val="superscript"/>
        </w:rPr>
        <w:t>*</w:t>
      </w:r>
      <w:r w:rsidRPr="00F77F5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Non-</w:t>
      </w:r>
      <w:r w:rsidRPr="00F77F52">
        <w:rPr>
          <w:rFonts w:ascii="Arial" w:hAnsi="Arial"/>
          <w:sz w:val="20"/>
          <w:szCs w:val="20"/>
        </w:rPr>
        <w:t>standardized beta coefficient</w:t>
      </w:r>
    </w:p>
    <w:p w:rsidR="007B0102" w:rsidRDefault="005E6344"/>
    <w:sectPr w:rsidR="007B0102" w:rsidSect="005E634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6344"/>
    <w:rsid w:val="005E63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44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autoRedefine/>
    <w:rsid w:val="00EF5384"/>
    <w:rPr>
      <w:rFonts w:ascii="Times New Roman" w:eastAsiaTheme="minorHAns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F5384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E634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Catharine Mattioli</dc:creator>
  <cp:keywords/>
  <cp:lastModifiedBy>Mia Catharine Mattioli</cp:lastModifiedBy>
  <cp:revision>1</cp:revision>
  <dcterms:created xsi:type="dcterms:W3CDTF">2013-12-02T19:51:00Z</dcterms:created>
  <dcterms:modified xsi:type="dcterms:W3CDTF">2013-12-02T20:17:00Z</dcterms:modified>
</cp:coreProperties>
</file>