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6B" w:rsidRPr="00A237C5" w:rsidRDefault="004C506B" w:rsidP="004C506B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t>T</w:t>
      </w:r>
      <w:r w:rsidRPr="00A237C5">
        <w:rPr>
          <w:color w:val="000000" w:themeColor="text1"/>
        </w:rPr>
        <w:t>able S11. The number of rf-SDRs in ASRs, LBRs and CSRs</w:t>
      </w:r>
    </w:p>
    <w:tbl>
      <w:tblPr>
        <w:tblStyle w:val="1"/>
        <w:tblW w:w="8897" w:type="dxa"/>
        <w:tblLook w:val="04A0" w:firstRow="1" w:lastRow="0" w:firstColumn="1" w:lastColumn="0" w:noHBand="0" w:noVBand="1"/>
      </w:tblPr>
      <w:tblGrid>
        <w:gridCol w:w="2106"/>
        <w:gridCol w:w="2222"/>
        <w:gridCol w:w="2346"/>
        <w:gridCol w:w="2223"/>
      </w:tblGrid>
      <w:tr w:rsidR="004C506B" w:rsidRPr="00A237C5" w:rsidTr="00CD2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:rsidR="004C506B" w:rsidRPr="00A237C5" w:rsidRDefault="004C506B" w:rsidP="00CD21FC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Superfamily</w:t>
            </w:r>
          </w:p>
        </w:tc>
        <w:tc>
          <w:tcPr>
            <w:tcW w:w="2222" w:type="dxa"/>
            <w:hideMark/>
          </w:tcPr>
          <w:p w:rsidR="004C506B" w:rsidRPr="00A237C5" w:rsidRDefault="004C506B" w:rsidP="00CD21FC">
            <w:pPr>
              <w:widowControl/>
              <w:spacing w:line="2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ASR</w:t>
            </w:r>
          </w:p>
        </w:tc>
        <w:tc>
          <w:tcPr>
            <w:tcW w:w="2346" w:type="dxa"/>
            <w:hideMark/>
          </w:tcPr>
          <w:p w:rsidR="004C506B" w:rsidRPr="00A237C5" w:rsidRDefault="004C506B" w:rsidP="00CD21FC">
            <w:pPr>
              <w:widowControl/>
              <w:spacing w:line="2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LBR</w:t>
            </w:r>
          </w:p>
        </w:tc>
        <w:tc>
          <w:tcPr>
            <w:tcW w:w="2223" w:type="dxa"/>
            <w:hideMark/>
          </w:tcPr>
          <w:p w:rsidR="004C506B" w:rsidRPr="00A237C5" w:rsidRDefault="004C506B" w:rsidP="00CD21FC">
            <w:pPr>
              <w:widowControl/>
              <w:spacing w:line="24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CSR</w:t>
            </w:r>
          </w:p>
        </w:tc>
      </w:tr>
      <w:tr w:rsidR="004C506B" w:rsidRPr="00A237C5" w:rsidTr="00CD2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:rsidR="004C506B" w:rsidRPr="00A237C5" w:rsidRDefault="004C506B" w:rsidP="00CD21FC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3.20.20.80</w:t>
            </w:r>
          </w:p>
        </w:tc>
        <w:tc>
          <w:tcPr>
            <w:tcW w:w="2222" w:type="dxa"/>
            <w:hideMark/>
          </w:tcPr>
          <w:p w:rsidR="004C506B" w:rsidRPr="00A237C5" w:rsidRDefault="004C506B" w:rsidP="00CD21FC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34/104 (32.7%)</w:t>
            </w:r>
          </w:p>
        </w:tc>
        <w:tc>
          <w:tcPr>
            <w:tcW w:w="2346" w:type="dxa"/>
            <w:hideMark/>
          </w:tcPr>
          <w:p w:rsidR="004C506B" w:rsidRPr="00A237C5" w:rsidRDefault="004C506B" w:rsidP="00CD21FC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95/279 (34.1%)</w:t>
            </w:r>
          </w:p>
        </w:tc>
        <w:tc>
          <w:tcPr>
            <w:tcW w:w="2223" w:type="dxa"/>
            <w:hideMark/>
          </w:tcPr>
          <w:p w:rsidR="004C506B" w:rsidRPr="00A237C5" w:rsidRDefault="004C506B" w:rsidP="00CD21FC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142/416 (34.17%)</w:t>
            </w:r>
          </w:p>
        </w:tc>
      </w:tr>
      <w:tr w:rsidR="004C506B" w:rsidRPr="00A237C5" w:rsidTr="00CD21F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:rsidR="004C506B" w:rsidRPr="00A237C5" w:rsidRDefault="004C506B" w:rsidP="00CD21FC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3.20.20.60</w:t>
            </w:r>
          </w:p>
        </w:tc>
        <w:tc>
          <w:tcPr>
            <w:tcW w:w="2222" w:type="dxa"/>
            <w:hideMark/>
          </w:tcPr>
          <w:p w:rsidR="004C506B" w:rsidRPr="00A237C5" w:rsidRDefault="004C506B" w:rsidP="00CD21FC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4/17 (23.5%)</w:t>
            </w:r>
          </w:p>
        </w:tc>
        <w:tc>
          <w:tcPr>
            <w:tcW w:w="2346" w:type="dxa"/>
            <w:hideMark/>
          </w:tcPr>
          <w:p w:rsidR="004C506B" w:rsidRPr="00A237C5" w:rsidRDefault="004C506B" w:rsidP="00CD21FC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19/49 (38.8%)</w:t>
            </w:r>
          </w:p>
        </w:tc>
        <w:tc>
          <w:tcPr>
            <w:tcW w:w="2223" w:type="dxa"/>
            <w:hideMark/>
          </w:tcPr>
          <w:p w:rsidR="004C506B" w:rsidRPr="00A237C5" w:rsidRDefault="004C506B" w:rsidP="00CD21FC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40/127 (31.5%)</w:t>
            </w:r>
          </w:p>
        </w:tc>
      </w:tr>
      <w:tr w:rsidR="004C506B" w:rsidRPr="00A237C5" w:rsidTr="00CD2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:rsidR="004C506B" w:rsidRPr="00A237C5" w:rsidRDefault="004C506B" w:rsidP="00CD21FC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3.20.20.70</w:t>
            </w:r>
          </w:p>
        </w:tc>
        <w:tc>
          <w:tcPr>
            <w:tcW w:w="2222" w:type="dxa"/>
            <w:hideMark/>
          </w:tcPr>
          <w:p w:rsidR="004C506B" w:rsidRPr="00A237C5" w:rsidRDefault="004C506B" w:rsidP="00CD21FC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70/135 (51.9%)</w:t>
            </w:r>
          </w:p>
        </w:tc>
        <w:tc>
          <w:tcPr>
            <w:tcW w:w="2346" w:type="dxa"/>
            <w:hideMark/>
          </w:tcPr>
          <w:p w:rsidR="004C506B" w:rsidRPr="00A237C5" w:rsidRDefault="004C506B" w:rsidP="00CD21FC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133/436 (30.5%)</w:t>
            </w:r>
          </w:p>
        </w:tc>
        <w:tc>
          <w:tcPr>
            <w:tcW w:w="2223" w:type="dxa"/>
            <w:hideMark/>
          </w:tcPr>
          <w:p w:rsidR="004C506B" w:rsidRPr="00A237C5" w:rsidRDefault="004C506B" w:rsidP="00CD21FC">
            <w:pPr>
              <w:widowControl/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193/608 (31.7%)</w:t>
            </w:r>
          </w:p>
        </w:tc>
      </w:tr>
      <w:tr w:rsidR="004C506B" w:rsidRPr="00A237C5" w:rsidTr="00CD21F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4C506B" w:rsidRPr="00A237C5" w:rsidRDefault="004C506B" w:rsidP="00CD21FC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3.40.50.1820</w:t>
            </w:r>
          </w:p>
        </w:tc>
        <w:tc>
          <w:tcPr>
            <w:tcW w:w="2222" w:type="dxa"/>
          </w:tcPr>
          <w:p w:rsidR="004C506B" w:rsidRPr="00A237C5" w:rsidRDefault="004C506B" w:rsidP="00CD21FC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16/61 (26.2%)</w:t>
            </w:r>
          </w:p>
        </w:tc>
        <w:tc>
          <w:tcPr>
            <w:tcW w:w="2346" w:type="dxa"/>
          </w:tcPr>
          <w:p w:rsidR="004C506B" w:rsidRPr="00A237C5" w:rsidRDefault="004C506B" w:rsidP="00CD21FC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50/149 (33.6%)</w:t>
            </w:r>
          </w:p>
        </w:tc>
        <w:tc>
          <w:tcPr>
            <w:tcW w:w="2223" w:type="dxa"/>
          </w:tcPr>
          <w:p w:rsidR="004C506B" w:rsidRPr="00A237C5" w:rsidRDefault="004C506B" w:rsidP="00CD21FC">
            <w:pPr>
              <w:widowControl/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98/264 (37.1%)</w:t>
            </w:r>
          </w:p>
        </w:tc>
      </w:tr>
    </w:tbl>
    <w:p w:rsidR="004C506B" w:rsidRPr="00A237C5" w:rsidRDefault="004C506B" w:rsidP="004C506B">
      <w:pPr>
        <w:widowControl/>
        <w:jc w:val="left"/>
        <w:rPr>
          <w:color w:val="000000" w:themeColor="text1"/>
        </w:rPr>
      </w:pPr>
      <w:r w:rsidRPr="00A237C5">
        <w:rPr>
          <w:color w:val="000000" w:themeColor="text1"/>
        </w:rPr>
        <w:t>Numerators mean the number of the ASRs/LBRs in a superfamily and denominators mean the number of the ASRs/LBRs to be selected as the rf-SDRs.</w:t>
      </w:r>
    </w:p>
    <w:p w:rsidR="004C506B" w:rsidRPr="00A237C5" w:rsidRDefault="004C506B" w:rsidP="004C506B">
      <w:pPr>
        <w:widowControl/>
        <w:jc w:val="left"/>
        <w:rPr>
          <w:color w:val="000000" w:themeColor="text1"/>
        </w:rPr>
      </w:pPr>
    </w:p>
    <w:p w:rsidR="00E74489" w:rsidRDefault="004C506B">
      <w:bookmarkStart w:id="0" w:name="_GoBack"/>
      <w:bookmarkEnd w:id="0"/>
    </w:p>
    <w:sectPr w:rsidR="00E74489" w:rsidSect="00BA54C7">
      <w:type w:val="continuous"/>
      <w:pgSz w:w="11900" w:h="16840"/>
      <w:pgMar w:top="1134" w:right="1134" w:bottom="1134" w:left="1134" w:header="851" w:footer="992" w:gutter="0"/>
      <w:cols w:space="425"/>
      <w:docGrid w:type="linesAndChars" w:linePitch="455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bordersDoNotSurroundHeader/>
  <w:bordersDoNotSurroundFooter/>
  <w:proofState w:grammar="clean"/>
  <w:defaultTabStop w:val="960"/>
  <w:drawingGridHorizontalSpacing w:val="112"/>
  <w:drawingGridVerticalSpacing w:val="455"/>
  <w:displayHorizont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6B"/>
    <w:rsid w:val="003A4DE3"/>
    <w:rsid w:val="003F0996"/>
    <w:rsid w:val="004855E6"/>
    <w:rsid w:val="004C506B"/>
    <w:rsid w:val="00500D26"/>
    <w:rsid w:val="00573C09"/>
    <w:rsid w:val="0063496B"/>
    <w:rsid w:val="006B1AE1"/>
    <w:rsid w:val="006B7F08"/>
    <w:rsid w:val="007B1B1B"/>
    <w:rsid w:val="00840F84"/>
    <w:rsid w:val="00A03163"/>
    <w:rsid w:val="00B02209"/>
    <w:rsid w:val="00BA54C7"/>
    <w:rsid w:val="00F11F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Courier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4C506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Courier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4C506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第八</dc:creator>
  <cp:keywords/>
  <dc:description/>
  <cp:lastModifiedBy>第八</cp:lastModifiedBy>
  <cp:revision>1</cp:revision>
  <dcterms:created xsi:type="dcterms:W3CDTF">2013-12-06T02:17:00Z</dcterms:created>
  <dcterms:modified xsi:type="dcterms:W3CDTF">2013-12-06T02:17:00Z</dcterms:modified>
</cp:coreProperties>
</file>