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FE1FA" w14:textId="77777777" w:rsidR="00E26B4A" w:rsidRDefault="00E26B4A" w:rsidP="00E26B4A">
      <w:pPr>
        <w:rPr>
          <w:rFonts w:ascii="Arial" w:hAnsi="Arial" w:cs="Arial"/>
          <w:sz w:val="18"/>
          <w:szCs w:val="18"/>
        </w:rPr>
      </w:pPr>
      <w:r w:rsidRPr="003932E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329EA31" wp14:editId="2A0A5283">
            <wp:extent cx="5486400" cy="19118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. Fig. 1-130125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2" t="20791" r="7827" b="56762"/>
                    <a:stretch/>
                  </pic:blipFill>
                  <pic:spPr bwMode="auto">
                    <a:xfrm>
                      <a:off x="0" y="0"/>
                      <a:ext cx="5486400" cy="1911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D1F7F" w14:textId="77777777" w:rsidR="00E26B4A" w:rsidRDefault="00E26B4A" w:rsidP="00E26B4A">
      <w:pPr>
        <w:rPr>
          <w:rFonts w:ascii="Arial" w:hAnsi="Arial" w:cs="Arial"/>
          <w:sz w:val="18"/>
          <w:szCs w:val="18"/>
        </w:rPr>
      </w:pPr>
    </w:p>
    <w:p w14:paraId="493DFF49" w14:textId="77777777" w:rsidR="00E26B4A" w:rsidRDefault="00E26B4A" w:rsidP="00E26B4A">
      <w:pPr>
        <w:rPr>
          <w:rFonts w:ascii="Arial" w:hAnsi="Arial" w:cs="Arial"/>
          <w:sz w:val="18"/>
          <w:szCs w:val="18"/>
        </w:rPr>
      </w:pPr>
    </w:p>
    <w:p w14:paraId="6A777D8A" w14:textId="77777777" w:rsidR="00E26B4A" w:rsidRDefault="00E26B4A" w:rsidP="00E26B4A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Supplemental Figure 1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</w:t>
      </w:r>
      <w:r w:rsidRPr="00406058">
        <w:rPr>
          <w:rFonts w:ascii="Arial" w:hAnsi="Arial" w:cs="Arial"/>
          <w:b/>
          <w:color w:val="000000" w:themeColor="text1"/>
          <w:kern w:val="24"/>
          <w:sz w:val="24"/>
          <w:szCs w:val="24"/>
        </w:rPr>
        <w:t>A schematic representation of our experimental plan for analyzing differentially expressed genes.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1 and 2 refer to genes that do not undergo expression changes under acute exposure to 1</w:t>
      </w:r>
      <w:r w:rsidR="00DD626A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DD626A">
        <w:rPr>
          <w:rFonts w:ascii="Arial" w:hAnsi="Arial" w:cs="Arial"/>
          <w:color w:val="000000" w:themeColor="text1"/>
          <w:kern w:val="24"/>
          <w:sz w:val="24"/>
          <w:szCs w:val="24"/>
        </w:rPr>
        <w:t>μ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>M</w:t>
      </w:r>
      <w:proofErr w:type="spellEnd"/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DOX for 48 hours. 3 and 4 refer to genes that are up or downregulated, respectively, during the acute phase. 5 and 6 refer to genes that do not change during chronic exposure to 100 </w:t>
      </w:r>
      <w:proofErr w:type="spellStart"/>
      <w:r>
        <w:rPr>
          <w:rFonts w:ascii="Arial" w:hAnsi="Arial" w:cs="Arial"/>
          <w:color w:val="000000" w:themeColor="text1"/>
          <w:kern w:val="24"/>
          <w:sz w:val="24"/>
          <w:szCs w:val="24"/>
        </w:rPr>
        <w:t>nM</w:t>
      </w:r>
      <w:proofErr w:type="spellEnd"/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DOX for 2 weeks, whereas 7 and 8 define genes that are down or up</w:t>
      </w:r>
      <w:r w:rsidR="00DD626A">
        <w:rPr>
          <w:rFonts w:ascii="Arial" w:hAnsi="Arial" w:cs="Arial"/>
          <w:color w:val="000000" w:themeColor="text1"/>
          <w:kern w:val="24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regulated, respectively, during chronic exposure. Genes that fit, for example, a 3-5 category are </w:t>
      </w:r>
      <w:proofErr w:type="gramStart"/>
      <w:r>
        <w:rPr>
          <w:rFonts w:ascii="Arial" w:hAnsi="Arial" w:cs="Arial"/>
          <w:color w:val="000000" w:themeColor="text1"/>
          <w:kern w:val="24"/>
          <w:sz w:val="24"/>
          <w:szCs w:val="24"/>
        </w:rPr>
        <w:t>up</w:t>
      </w:r>
      <w:r w:rsidR="00DD626A">
        <w:rPr>
          <w:rFonts w:ascii="Arial" w:hAnsi="Arial" w:cs="Arial"/>
          <w:color w:val="000000" w:themeColor="text1"/>
          <w:kern w:val="24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color w:val="000000" w:themeColor="text1"/>
          <w:kern w:val="24"/>
          <w:sz w:val="24"/>
          <w:szCs w:val="24"/>
        </w:rPr>
        <w:t>regulated</w:t>
      </w:r>
      <w:proofErr w:type="gramEnd"/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during acute exposure and remain so during the chronic phase.</w:t>
      </w:r>
    </w:p>
    <w:p w14:paraId="0518182A" w14:textId="77777777" w:rsidR="00E26B4A" w:rsidRPr="003932EB" w:rsidRDefault="00E26B4A" w:rsidP="00E26B4A">
      <w:pPr>
        <w:rPr>
          <w:rFonts w:ascii="Arial" w:hAnsi="Arial" w:cs="Arial"/>
          <w:sz w:val="18"/>
          <w:szCs w:val="18"/>
        </w:rPr>
      </w:pPr>
    </w:p>
    <w:p w14:paraId="0863AE7F" w14:textId="77777777" w:rsidR="00906C70" w:rsidRDefault="00906C70"/>
    <w:sectPr w:rsidR="00906C70" w:rsidSect="003A01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4A"/>
    <w:rsid w:val="003A01FF"/>
    <w:rsid w:val="00906C70"/>
    <w:rsid w:val="00DD626A"/>
    <w:rsid w:val="00E26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87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B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B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Company>University of Saskatchewan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Harkness</dc:creator>
  <cp:keywords/>
  <dc:description/>
  <cp:lastModifiedBy>Troy Harkness</cp:lastModifiedBy>
  <cp:revision>2</cp:revision>
  <dcterms:created xsi:type="dcterms:W3CDTF">2013-06-06T16:50:00Z</dcterms:created>
  <dcterms:modified xsi:type="dcterms:W3CDTF">2013-11-27T16:55:00Z</dcterms:modified>
</cp:coreProperties>
</file>