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64" w:rsidRPr="001A2C08" w:rsidRDefault="00DD0E64" w:rsidP="00DD0E64">
      <w:pPr>
        <w:rPr>
          <w:rFonts w:asciiTheme="minorHAnsi" w:hAnsiTheme="minorHAnsi" w:cs="Times New Roman"/>
          <w:b/>
        </w:rPr>
      </w:pPr>
      <w:bookmarkStart w:id="0" w:name="_GoBack"/>
      <w:r w:rsidRPr="001A2C08">
        <w:rPr>
          <w:rFonts w:asciiTheme="minorHAnsi" w:hAnsiTheme="minorHAnsi" w:cs="Times New Roman"/>
          <w:b/>
        </w:rPr>
        <w:t xml:space="preserve">Supplemental </w:t>
      </w:r>
      <w:r w:rsidR="006E1BE0" w:rsidRPr="001A2C08">
        <w:rPr>
          <w:rFonts w:asciiTheme="minorHAnsi" w:hAnsiTheme="minorHAnsi" w:cs="Times New Roman"/>
          <w:b/>
        </w:rPr>
        <w:t>S</w:t>
      </w:r>
      <w:r w:rsidRPr="001A2C08">
        <w:rPr>
          <w:rFonts w:asciiTheme="minorHAnsi" w:hAnsiTheme="minorHAnsi" w:cs="Times New Roman"/>
          <w:b/>
        </w:rPr>
        <w:t>3 – Full Analytical results</w:t>
      </w:r>
    </w:p>
    <w:bookmarkEnd w:id="0"/>
    <w:p w:rsidR="00DD0E64" w:rsidRPr="00B61E0B" w:rsidRDefault="00DD0E64" w:rsidP="00DD0E64">
      <w:pPr>
        <w:rPr>
          <w:rFonts w:asciiTheme="minorHAnsi" w:hAnsiTheme="minorHAnsi" w:cs="Times New Roman"/>
        </w:rPr>
      </w:pPr>
      <w:r>
        <w:rPr>
          <w:rFonts w:asciiTheme="minorHAnsi" w:hAnsiTheme="minorHAnsi" w:cs="Times New Roman"/>
          <w:b/>
        </w:rPr>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.1</w:t>
      </w:r>
      <w:r w:rsidRPr="00B61E0B">
        <w:rPr>
          <w:rFonts w:asciiTheme="minorHAnsi" w:hAnsiTheme="minorHAnsi" w:cs="Times New Roman"/>
        </w:rPr>
        <w:t xml:space="preserve"> – Results of Supply Density and Density of Demand correlation analysis</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2310"/>
        <w:gridCol w:w="1591"/>
        <w:gridCol w:w="1049"/>
      </w:tblGrid>
      <w:tr w:rsidR="00DD0E64" w:rsidRPr="00B61E0B" w:rsidTr="00C85987">
        <w:tc>
          <w:tcPr>
            <w:tcW w:w="2310"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Variables</w:t>
            </w:r>
          </w:p>
        </w:tc>
        <w:tc>
          <w:tcPr>
            <w:tcW w:w="1591"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Coefficient (</w:t>
            </w:r>
            <w:r w:rsidRPr="00B61E0B">
              <w:rPr>
                <w:rFonts w:asciiTheme="minorHAnsi" w:hAnsiTheme="minorHAnsi" w:cs="Times New Roman"/>
                <w:i/>
                <w:sz w:val="18"/>
              </w:rPr>
              <w:t>ρ</w:t>
            </w:r>
            <w:r w:rsidRPr="00B61E0B">
              <w:rPr>
                <w:rFonts w:asciiTheme="minorHAnsi" w:hAnsiTheme="minorHAnsi" w:cs="Times New Roman"/>
                <w:sz w:val="18"/>
              </w:rPr>
              <w:t>)</w:t>
            </w:r>
          </w:p>
        </w:tc>
        <w:tc>
          <w:tcPr>
            <w:tcW w:w="1049"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 value</w:t>
            </w:r>
          </w:p>
        </w:tc>
      </w:tr>
      <w:tr w:rsidR="00DD0E64" w:rsidRPr="00B61E0B" w:rsidTr="00C85987">
        <w:tc>
          <w:tcPr>
            <w:tcW w:w="2310" w:type="dxa"/>
            <w:tcBorders>
              <w:top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2005 x DDL 2005</w:t>
            </w:r>
          </w:p>
        </w:tc>
        <w:tc>
          <w:tcPr>
            <w:tcW w:w="1591" w:type="dxa"/>
            <w:tcBorders>
              <w:top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0.01</w:t>
            </w:r>
          </w:p>
        </w:tc>
        <w:tc>
          <w:tcPr>
            <w:tcW w:w="1049" w:type="dxa"/>
            <w:tcBorders>
              <w:top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0.9745</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2010 x DDL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0.12</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0.4563</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 xml:space="preserve">SD 2005 x DDA 2005 </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0.49</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0.0013</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2010 x DDA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0.48</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0.0014</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2005 x DDU 2005</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0.59</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2010 x DDU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0.59</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bl>
    <w:p w:rsidR="00DD0E64" w:rsidRPr="00B61E0B" w:rsidRDefault="00DD0E64" w:rsidP="00DD0E64">
      <w:pPr>
        <w:rPr>
          <w:rFonts w:asciiTheme="minorHAnsi" w:hAnsiTheme="minorHAnsi" w:cs="Times New Roman"/>
          <w:sz w:val="18"/>
        </w:rPr>
      </w:pPr>
      <w:r w:rsidRPr="00B61E0B">
        <w:rPr>
          <w:rFonts w:asciiTheme="minorHAnsi" w:hAnsiTheme="minorHAnsi" w:cs="Times New Roman"/>
          <w:sz w:val="18"/>
        </w:rPr>
        <w:t>Variables = variables for which correlation was assessed, Coefficient (</w:t>
      </w:r>
      <w:r w:rsidRPr="00B61E0B">
        <w:rPr>
          <w:rFonts w:asciiTheme="minorHAnsi" w:hAnsiTheme="minorHAnsi" w:cs="Times New Roman"/>
          <w:i/>
          <w:sz w:val="18"/>
        </w:rPr>
        <w:t>ρ</w:t>
      </w:r>
      <w:r w:rsidRPr="00B61E0B">
        <w:rPr>
          <w:rFonts w:asciiTheme="minorHAnsi" w:hAnsiTheme="minorHAnsi" w:cs="Times New Roman"/>
          <w:sz w:val="18"/>
        </w:rPr>
        <w:t>) = the Spearman’s rank correlation coefficient, P value =the significance of the coefficient. In all analyses n=41. SD = Supply Density, the number of colonies available per hectare of insect-pollinated crop in 2005 or 2010. DD = Density of Demand, (the mean number of colonies required per hectare of insect-pollinated crop, weighted by the area of each crop and divided by two to take into account the potential for hive movement within a year) at lower (L), average (A) and upper (U) recommended stocking rate assumptions.</w:t>
      </w:r>
    </w:p>
    <w:p w:rsidR="00DD0E64" w:rsidRPr="00B61E0B" w:rsidRDefault="00DD0E64" w:rsidP="00DD0E64">
      <w:pPr>
        <w:rPr>
          <w:rFonts w:asciiTheme="minorHAnsi" w:hAnsiTheme="minorHAnsi" w:cs="Times New Roman"/>
        </w:rPr>
      </w:pPr>
      <w:r>
        <w:rPr>
          <w:rFonts w:asciiTheme="minorHAnsi" w:hAnsiTheme="minorHAnsi" w:cs="Times New Roman"/>
          <w:b/>
        </w:rPr>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 xml:space="preserve">.2 </w:t>
      </w:r>
      <w:r w:rsidRPr="00B61E0B">
        <w:rPr>
          <w:rFonts w:asciiTheme="minorHAnsi" w:hAnsiTheme="minorHAnsi" w:cs="Times New Roman"/>
        </w:rPr>
        <w:t>– Results of correlation analysis</w:t>
      </w:r>
      <w:r>
        <w:rPr>
          <w:rFonts w:asciiTheme="minorHAnsi" w:hAnsiTheme="minorHAnsi" w:cs="Times New Roman"/>
        </w:rPr>
        <w:t xml:space="preserve"> between Supply and Demand density variables and pollination service capacity</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2310"/>
        <w:gridCol w:w="1556"/>
        <w:gridCol w:w="35"/>
        <w:gridCol w:w="970"/>
        <w:gridCol w:w="44"/>
      </w:tblGrid>
      <w:tr w:rsidR="00DD0E64" w:rsidRPr="00B61E0B" w:rsidTr="00C85987">
        <w:tc>
          <w:tcPr>
            <w:tcW w:w="2310"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Variables</w:t>
            </w:r>
          </w:p>
        </w:tc>
        <w:tc>
          <w:tcPr>
            <w:tcW w:w="155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Coefficient (r)</w:t>
            </w:r>
          </w:p>
        </w:tc>
        <w:tc>
          <w:tcPr>
            <w:tcW w:w="1049" w:type="dxa"/>
            <w:gridSpan w:val="3"/>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P value</w:t>
            </w:r>
          </w:p>
        </w:tc>
      </w:tr>
      <w:tr w:rsidR="00DD0E64" w:rsidRPr="00B61E0B" w:rsidTr="00C85987">
        <w:trPr>
          <w:gridAfter w:val="1"/>
          <w:wAfter w:w="44" w:type="dxa"/>
        </w:trPr>
        <w:tc>
          <w:tcPr>
            <w:tcW w:w="2310" w:type="dxa"/>
            <w:tcBorders>
              <w:top w:val="single" w:sz="4" w:space="0" w:color="auto"/>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SD 2005 x PSCL  2005</w:t>
            </w:r>
          </w:p>
        </w:tc>
        <w:tc>
          <w:tcPr>
            <w:tcW w:w="1591" w:type="dxa"/>
            <w:gridSpan w:val="2"/>
            <w:tcBorders>
              <w:top w:val="single" w:sz="4" w:space="0" w:color="auto"/>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0.97</w:t>
            </w:r>
          </w:p>
        </w:tc>
        <w:tc>
          <w:tcPr>
            <w:tcW w:w="970" w:type="dxa"/>
            <w:tcBorders>
              <w:top w:val="single" w:sz="4" w:space="0" w:color="auto"/>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rPr>
          <w:gridAfter w:val="1"/>
          <w:wAfter w:w="44" w:type="dxa"/>
        </w:trPr>
        <w:tc>
          <w:tcPr>
            <w:tcW w:w="231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SD 2010 x PSCL 2010</w:t>
            </w:r>
          </w:p>
        </w:tc>
        <w:tc>
          <w:tcPr>
            <w:tcW w:w="1591" w:type="dxa"/>
            <w:gridSpan w:val="2"/>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0.79</w:t>
            </w:r>
          </w:p>
        </w:tc>
        <w:tc>
          <w:tcPr>
            <w:tcW w:w="97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rPr>
          <w:gridAfter w:val="1"/>
          <w:wAfter w:w="44" w:type="dxa"/>
        </w:trPr>
        <w:tc>
          <w:tcPr>
            <w:tcW w:w="231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 xml:space="preserve">SD 2005 x PSCA 2005 </w:t>
            </w:r>
          </w:p>
        </w:tc>
        <w:tc>
          <w:tcPr>
            <w:tcW w:w="1591" w:type="dxa"/>
            <w:gridSpan w:val="2"/>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0.99</w:t>
            </w:r>
          </w:p>
        </w:tc>
        <w:tc>
          <w:tcPr>
            <w:tcW w:w="97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rPr>
          <w:gridAfter w:val="1"/>
          <w:wAfter w:w="44" w:type="dxa"/>
        </w:trPr>
        <w:tc>
          <w:tcPr>
            <w:tcW w:w="231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SD 2010 x PSCA 2010</w:t>
            </w:r>
          </w:p>
        </w:tc>
        <w:tc>
          <w:tcPr>
            <w:tcW w:w="1591" w:type="dxa"/>
            <w:gridSpan w:val="2"/>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0.99</w:t>
            </w:r>
          </w:p>
        </w:tc>
        <w:tc>
          <w:tcPr>
            <w:tcW w:w="97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rPr>
          <w:gridAfter w:val="1"/>
          <w:wAfter w:w="44" w:type="dxa"/>
        </w:trPr>
        <w:tc>
          <w:tcPr>
            <w:tcW w:w="231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SD 2005 x PSCU 2005</w:t>
            </w:r>
          </w:p>
        </w:tc>
        <w:tc>
          <w:tcPr>
            <w:tcW w:w="1591" w:type="dxa"/>
            <w:gridSpan w:val="2"/>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0.98</w:t>
            </w:r>
          </w:p>
        </w:tc>
        <w:tc>
          <w:tcPr>
            <w:tcW w:w="97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rPr>
          <w:gridAfter w:val="1"/>
          <w:wAfter w:w="44" w:type="dxa"/>
        </w:trPr>
        <w:tc>
          <w:tcPr>
            <w:tcW w:w="231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SD 2010 x PSCU 2010</w:t>
            </w:r>
          </w:p>
        </w:tc>
        <w:tc>
          <w:tcPr>
            <w:tcW w:w="1591" w:type="dxa"/>
            <w:gridSpan w:val="2"/>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0.96</w:t>
            </w:r>
          </w:p>
        </w:tc>
        <w:tc>
          <w:tcPr>
            <w:tcW w:w="97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rPr>
          <w:gridAfter w:val="1"/>
          <w:wAfter w:w="44" w:type="dxa"/>
        </w:trPr>
        <w:tc>
          <w:tcPr>
            <w:tcW w:w="2310"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DDL 2005 x PSCL 2005</w:t>
            </w:r>
          </w:p>
        </w:tc>
        <w:tc>
          <w:tcPr>
            <w:tcW w:w="1591" w:type="dxa"/>
            <w:gridSpan w:val="2"/>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-0.15</w:t>
            </w:r>
          </w:p>
        </w:tc>
        <w:tc>
          <w:tcPr>
            <w:tcW w:w="970"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0.3436</w:t>
            </w:r>
          </w:p>
        </w:tc>
      </w:tr>
      <w:tr w:rsidR="00DD0E64" w:rsidRPr="00B61E0B" w:rsidTr="00C85987">
        <w:trPr>
          <w:gridAfter w:val="1"/>
          <w:wAfter w:w="44" w:type="dxa"/>
        </w:trPr>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DDL 2010 x PSCL 2010</w:t>
            </w:r>
          </w:p>
        </w:tc>
        <w:tc>
          <w:tcPr>
            <w:tcW w:w="1591" w:type="dxa"/>
            <w:gridSpan w:val="2"/>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0.06</w:t>
            </w:r>
          </w:p>
        </w:tc>
        <w:tc>
          <w:tcPr>
            <w:tcW w:w="97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0.7022</w:t>
            </w:r>
          </w:p>
        </w:tc>
      </w:tr>
      <w:tr w:rsidR="00DD0E64" w:rsidRPr="00B61E0B" w:rsidTr="00C85987">
        <w:trPr>
          <w:gridAfter w:val="1"/>
          <w:wAfter w:w="44" w:type="dxa"/>
        </w:trPr>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 xml:space="preserve">DDA 2005 x PSCA 2005 </w:t>
            </w:r>
          </w:p>
        </w:tc>
        <w:tc>
          <w:tcPr>
            <w:tcW w:w="1591" w:type="dxa"/>
            <w:gridSpan w:val="2"/>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0.36</w:t>
            </w:r>
          </w:p>
        </w:tc>
        <w:tc>
          <w:tcPr>
            <w:tcW w:w="97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0.0217</w:t>
            </w:r>
          </w:p>
        </w:tc>
      </w:tr>
      <w:tr w:rsidR="00DD0E64" w:rsidRPr="00B61E0B" w:rsidTr="00C85987">
        <w:trPr>
          <w:gridAfter w:val="1"/>
          <w:wAfter w:w="44" w:type="dxa"/>
        </w:trPr>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DDA 2010 x PSCA 2010</w:t>
            </w:r>
          </w:p>
        </w:tc>
        <w:tc>
          <w:tcPr>
            <w:tcW w:w="1591" w:type="dxa"/>
            <w:gridSpan w:val="2"/>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0.47</w:t>
            </w:r>
          </w:p>
        </w:tc>
        <w:tc>
          <w:tcPr>
            <w:tcW w:w="97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0.0019</w:t>
            </w:r>
          </w:p>
        </w:tc>
      </w:tr>
      <w:tr w:rsidR="00DD0E64" w:rsidRPr="00B61E0B" w:rsidTr="00C85987">
        <w:trPr>
          <w:gridAfter w:val="1"/>
          <w:wAfter w:w="44" w:type="dxa"/>
        </w:trPr>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DDU 2005 x PSCU 2005</w:t>
            </w:r>
          </w:p>
        </w:tc>
        <w:tc>
          <w:tcPr>
            <w:tcW w:w="1591" w:type="dxa"/>
            <w:gridSpan w:val="2"/>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0.28</w:t>
            </w:r>
          </w:p>
        </w:tc>
        <w:tc>
          <w:tcPr>
            <w:tcW w:w="97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0.0715</w:t>
            </w:r>
          </w:p>
        </w:tc>
      </w:tr>
      <w:tr w:rsidR="00DD0E64" w:rsidRPr="00B61E0B" w:rsidTr="00C85987">
        <w:trPr>
          <w:gridAfter w:val="1"/>
          <w:wAfter w:w="44" w:type="dxa"/>
        </w:trPr>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DDU 2010 x PSCU 2010</w:t>
            </w:r>
          </w:p>
        </w:tc>
        <w:tc>
          <w:tcPr>
            <w:tcW w:w="1591" w:type="dxa"/>
            <w:gridSpan w:val="2"/>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0.42</w:t>
            </w:r>
          </w:p>
        </w:tc>
        <w:tc>
          <w:tcPr>
            <w:tcW w:w="97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0.0059</w:t>
            </w:r>
          </w:p>
        </w:tc>
      </w:tr>
    </w:tbl>
    <w:p w:rsidR="00DD0E64" w:rsidRPr="00B61E0B" w:rsidRDefault="00DD0E64" w:rsidP="00DD0E64">
      <w:pPr>
        <w:rPr>
          <w:rFonts w:asciiTheme="minorHAnsi" w:hAnsiTheme="minorHAnsi" w:cs="Times New Roman"/>
          <w:sz w:val="18"/>
        </w:rPr>
      </w:pPr>
      <w:r w:rsidRPr="00B61E0B">
        <w:rPr>
          <w:rFonts w:asciiTheme="minorHAnsi" w:hAnsiTheme="minorHAnsi" w:cs="Times New Roman"/>
          <w:sz w:val="18"/>
        </w:rPr>
        <w:t>Variables = variables for which correlation was assessed, Coefficient (r) = the Pearson’s product moment correlation coefficient, P value =the significance of the coefficient. In all analyses n=41. SD = Supply Density, the number of colonies available per hectare of insect-pollinated crop in 2005 or 2010. PSC = Pollination service capacity, the capacity of honeybee stocks to supply pollination services under lower (L), average (A) and upper (U) recommended stocking rate assumptions.</w:t>
      </w:r>
    </w:p>
    <w:p w:rsidR="00DD0E64" w:rsidRDefault="00DD0E64" w:rsidP="00DD0E64">
      <w:pPr>
        <w:rPr>
          <w:rFonts w:asciiTheme="minorHAnsi" w:hAnsiTheme="minorHAnsi" w:cs="Times New Roman"/>
          <w:b/>
        </w:rPr>
      </w:pPr>
      <w:r>
        <w:rPr>
          <w:rFonts w:asciiTheme="minorHAnsi" w:hAnsiTheme="minorHAnsi" w:cs="Times New Roman"/>
          <w:b/>
        </w:rPr>
        <w:br w:type="page"/>
      </w:r>
    </w:p>
    <w:p w:rsidR="00DD0E64" w:rsidRPr="00B61E0B" w:rsidRDefault="00DD0E64" w:rsidP="00DD0E64">
      <w:pPr>
        <w:rPr>
          <w:rFonts w:asciiTheme="minorHAnsi" w:hAnsiTheme="minorHAnsi" w:cs="Times New Roman"/>
        </w:rPr>
      </w:pPr>
      <w:r>
        <w:rPr>
          <w:rFonts w:asciiTheme="minorHAnsi" w:hAnsiTheme="minorHAnsi" w:cs="Times New Roman"/>
          <w:b/>
        </w:rPr>
        <w:lastRenderedPageBreak/>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 xml:space="preserve">.3 </w:t>
      </w:r>
      <w:r w:rsidRPr="00B61E0B">
        <w:rPr>
          <w:rFonts w:asciiTheme="minorHAnsi" w:hAnsiTheme="minorHAnsi" w:cs="Times New Roman"/>
        </w:rPr>
        <w:t xml:space="preserve">– </w:t>
      </w:r>
      <w:r>
        <w:rPr>
          <w:rFonts w:asciiTheme="minorHAnsi" w:hAnsiTheme="minorHAnsi" w:cs="Times New Roman"/>
        </w:rPr>
        <w:t>Results of correlation analyses between Honeybee stocks and area of insect pollinated crops and pollination service capacity</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2310"/>
        <w:gridCol w:w="1591"/>
        <w:gridCol w:w="970"/>
      </w:tblGrid>
      <w:tr w:rsidR="00DD0E64" w:rsidRPr="00B61E0B" w:rsidTr="00C85987">
        <w:tc>
          <w:tcPr>
            <w:tcW w:w="2310"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rPr>
            </w:pPr>
            <w:r w:rsidRPr="00B61E0B">
              <w:rPr>
                <w:rFonts w:asciiTheme="minorHAnsi" w:hAnsiTheme="minorHAnsi" w:cs="Times New Roman"/>
              </w:rPr>
              <w:t>Variables</w:t>
            </w:r>
          </w:p>
        </w:tc>
        <w:tc>
          <w:tcPr>
            <w:tcW w:w="1591"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rPr>
            </w:pPr>
            <w:r w:rsidRPr="00B61E0B">
              <w:rPr>
                <w:rFonts w:asciiTheme="minorHAnsi" w:hAnsiTheme="minorHAnsi" w:cs="Times New Roman"/>
              </w:rPr>
              <w:t>Coefficient (</w:t>
            </w:r>
            <w:r w:rsidRPr="00B61E0B">
              <w:rPr>
                <w:rFonts w:asciiTheme="minorHAnsi" w:hAnsiTheme="minorHAnsi" w:cs="Times New Roman"/>
                <w:i/>
              </w:rPr>
              <w:t>ρ</w:t>
            </w:r>
            <w:r w:rsidRPr="00B61E0B">
              <w:rPr>
                <w:rFonts w:asciiTheme="minorHAnsi" w:hAnsiTheme="minorHAnsi" w:cs="Times New Roman"/>
              </w:rPr>
              <w:t>)</w:t>
            </w:r>
          </w:p>
        </w:tc>
        <w:tc>
          <w:tcPr>
            <w:tcW w:w="970"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rPr>
            </w:pPr>
            <w:r w:rsidRPr="00B61E0B">
              <w:rPr>
                <w:rFonts w:asciiTheme="minorHAnsi" w:hAnsiTheme="minorHAnsi" w:cs="Times New Roman"/>
              </w:rPr>
              <w:t>P value</w:t>
            </w:r>
          </w:p>
        </w:tc>
      </w:tr>
      <w:tr w:rsidR="00DD0E64" w:rsidRPr="00B61E0B" w:rsidTr="00C85987">
        <w:tc>
          <w:tcPr>
            <w:tcW w:w="2310" w:type="dxa"/>
            <w:tcBorders>
              <w:top w:val="single" w:sz="4" w:space="0" w:color="auto"/>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HB</w:t>
            </w:r>
            <w:r w:rsidRPr="00B61E0B">
              <w:rPr>
                <w:rFonts w:asciiTheme="minorHAnsi" w:hAnsiTheme="minorHAnsi" w:cs="Times New Roman"/>
                <w:sz w:val="18"/>
                <w:szCs w:val="18"/>
              </w:rPr>
              <w:t xml:space="preserve"> 2005 x PSCL  2005</w:t>
            </w:r>
          </w:p>
        </w:tc>
        <w:tc>
          <w:tcPr>
            <w:tcW w:w="1591" w:type="dxa"/>
            <w:tcBorders>
              <w:top w:val="single" w:sz="4" w:space="0" w:color="auto"/>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-0.05</w:t>
            </w:r>
          </w:p>
        </w:tc>
        <w:tc>
          <w:tcPr>
            <w:tcW w:w="970" w:type="dxa"/>
            <w:tcBorders>
              <w:top w:val="single" w:sz="4" w:space="0" w:color="auto"/>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0.7584</w:t>
            </w:r>
          </w:p>
        </w:tc>
      </w:tr>
      <w:tr w:rsidR="00DD0E64" w:rsidRPr="00B61E0B" w:rsidTr="00C85987">
        <w:tc>
          <w:tcPr>
            <w:tcW w:w="231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HB</w:t>
            </w:r>
            <w:r w:rsidRPr="00B61E0B">
              <w:rPr>
                <w:rFonts w:asciiTheme="minorHAnsi" w:hAnsiTheme="minorHAnsi" w:cs="Times New Roman"/>
                <w:sz w:val="18"/>
                <w:szCs w:val="18"/>
              </w:rPr>
              <w:t xml:space="preserve"> 2010 x PSCL 2010</w:t>
            </w:r>
          </w:p>
        </w:tc>
        <w:tc>
          <w:tcPr>
            <w:tcW w:w="1591"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-0.01</w:t>
            </w:r>
          </w:p>
        </w:tc>
        <w:tc>
          <w:tcPr>
            <w:tcW w:w="97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0.9657</w:t>
            </w:r>
          </w:p>
        </w:tc>
      </w:tr>
      <w:tr w:rsidR="00DD0E64" w:rsidRPr="00B61E0B" w:rsidTr="00C85987">
        <w:tc>
          <w:tcPr>
            <w:tcW w:w="231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HB</w:t>
            </w:r>
            <w:r w:rsidRPr="00B61E0B">
              <w:rPr>
                <w:rFonts w:asciiTheme="minorHAnsi" w:hAnsiTheme="minorHAnsi" w:cs="Times New Roman"/>
                <w:sz w:val="18"/>
                <w:szCs w:val="18"/>
              </w:rPr>
              <w:t xml:space="preserve"> 2005 x PSCA 2005 </w:t>
            </w:r>
          </w:p>
        </w:tc>
        <w:tc>
          <w:tcPr>
            <w:tcW w:w="1591"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-0.11</w:t>
            </w:r>
          </w:p>
        </w:tc>
        <w:tc>
          <w:tcPr>
            <w:tcW w:w="97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0.5109</w:t>
            </w:r>
          </w:p>
        </w:tc>
      </w:tr>
      <w:tr w:rsidR="00DD0E64" w:rsidRPr="00B61E0B" w:rsidTr="00C85987">
        <w:tc>
          <w:tcPr>
            <w:tcW w:w="231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HB</w:t>
            </w:r>
            <w:r w:rsidRPr="00B61E0B">
              <w:rPr>
                <w:rFonts w:asciiTheme="minorHAnsi" w:hAnsiTheme="minorHAnsi" w:cs="Times New Roman"/>
                <w:sz w:val="18"/>
                <w:szCs w:val="18"/>
              </w:rPr>
              <w:t xml:space="preserve"> 2010 x PSCA 2010</w:t>
            </w:r>
          </w:p>
        </w:tc>
        <w:tc>
          <w:tcPr>
            <w:tcW w:w="1591"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-0.06</w:t>
            </w:r>
          </w:p>
        </w:tc>
        <w:tc>
          <w:tcPr>
            <w:tcW w:w="97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0.6866</w:t>
            </w:r>
          </w:p>
        </w:tc>
      </w:tr>
      <w:tr w:rsidR="00DD0E64" w:rsidRPr="00B61E0B" w:rsidTr="00C85987">
        <w:tc>
          <w:tcPr>
            <w:tcW w:w="231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HB</w:t>
            </w:r>
            <w:r w:rsidRPr="00B61E0B">
              <w:rPr>
                <w:rFonts w:asciiTheme="minorHAnsi" w:hAnsiTheme="minorHAnsi" w:cs="Times New Roman"/>
                <w:sz w:val="18"/>
                <w:szCs w:val="18"/>
              </w:rPr>
              <w:t xml:space="preserve"> 2005 x PSCU 2005</w:t>
            </w:r>
          </w:p>
        </w:tc>
        <w:tc>
          <w:tcPr>
            <w:tcW w:w="1591"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-0.11</w:t>
            </w:r>
          </w:p>
        </w:tc>
        <w:tc>
          <w:tcPr>
            <w:tcW w:w="97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0.4755</w:t>
            </w:r>
          </w:p>
        </w:tc>
      </w:tr>
      <w:tr w:rsidR="00DD0E64" w:rsidRPr="00B61E0B" w:rsidTr="00C85987">
        <w:tc>
          <w:tcPr>
            <w:tcW w:w="231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HB</w:t>
            </w:r>
            <w:r w:rsidRPr="00B61E0B">
              <w:rPr>
                <w:rFonts w:asciiTheme="minorHAnsi" w:hAnsiTheme="minorHAnsi" w:cs="Times New Roman"/>
                <w:sz w:val="18"/>
                <w:szCs w:val="18"/>
              </w:rPr>
              <w:t xml:space="preserve"> 2010 x PSCU 2010</w:t>
            </w:r>
          </w:p>
        </w:tc>
        <w:tc>
          <w:tcPr>
            <w:tcW w:w="1591"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-0.08</w:t>
            </w:r>
          </w:p>
        </w:tc>
        <w:tc>
          <w:tcPr>
            <w:tcW w:w="970" w:type="dxa"/>
            <w:tcBorders>
              <w:top w:val="nil"/>
              <w:left w:val="nil"/>
              <w:bottom w:val="nil"/>
              <w:right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0.6226</w:t>
            </w:r>
          </w:p>
        </w:tc>
      </w:tr>
      <w:tr w:rsidR="00DD0E64" w:rsidRPr="00B61E0B" w:rsidTr="00C85987">
        <w:tc>
          <w:tcPr>
            <w:tcW w:w="2310"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Area</w:t>
            </w:r>
            <w:r w:rsidRPr="00B61E0B">
              <w:rPr>
                <w:rFonts w:asciiTheme="minorHAnsi" w:hAnsiTheme="minorHAnsi" w:cs="Times New Roman"/>
                <w:sz w:val="18"/>
              </w:rPr>
              <w:t xml:space="preserve"> 2005 x PSCL 2005</w:t>
            </w:r>
          </w:p>
        </w:tc>
        <w:tc>
          <w:tcPr>
            <w:tcW w:w="1591"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-0.19</w:t>
            </w:r>
          </w:p>
        </w:tc>
        <w:tc>
          <w:tcPr>
            <w:tcW w:w="970"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0.2348</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Area</w:t>
            </w:r>
            <w:r w:rsidRPr="00B61E0B">
              <w:rPr>
                <w:rFonts w:asciiTheme="minorHAnsi" w:hAnsiTheme="minorHAnsi" w:cs="Times New Roman"/>
                <w:sz w:val="18"/>
              </w:rPr>
              <w:t xml:space="preserve"> 2010 x PSCL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-0.24</w:t>
            </w:r>
          </w:p>
        </w:tc>
        <w:tc>
          <w:tcPr>
            <w:tcW w:w="97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0.1288</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Area</w:t>
            </w:r>
            <w:r w:rsidRPr="00B61E0B">
              <w:rPr>
                <w:rFonts w:asciiTheme="minorHAnsi" w:hAnsiTheme="minorHAnsi" w:cs="Times New Roman"/>
                <w:sz w:val="18"/>
              </w:rPr>
              <w:t xml:space="preserve"> 2005 x PSCA 2005 </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-0.23</w:t>
            </w:r>
          </w:p>
        </w:tc>
        <w:tc>
          <w:tcPr>
            <w:tcW w:w="97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0.1409</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Area</w:t>
            </w:r>
            <w:r w:rsidRPr="00B61E0B">
              <w:rPr>
                <w:rFonts w:asciiTheme="minorHAnsi" w:hAnsiTheme="minorHAnsi" w:cs="Times New Roman"/>
                <w:sz w:val="18"/>
              </w:rPr>
              <w:t xml:space="preserve"> 2010 x PSCA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-0.28</w:t>
            </w:r>
          </w:p>
        </w:tc>
        <w:tc>
          <w:tcPr>
            <w:tcW w:w="97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0.0709</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Area</w:t>
            </w:r>
            <w:r w:rsidRPr="00B61E0B">
              <w:rPr>
                <w:rFonts w:asciiTheme="minorHAnsi" w:hAnsiTheme="minorHAnsi" w:cs="Times New Roman"/>
                <w:sz w:val="18"/>
              </w:rPr>
              <w:t xml:space="preserve"> 2005 x PSCU 2005</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-0.24</w:t>
            </w:r>
          </w:p>
        </w:tc>
        <w:tc>
          <w:tcPr>
            <w:tcW w:w="97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0.1264</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Area</w:t>
            </w:r>
            <w:r w:rsidRPr="00B61E0B">
              <w:rPr>
                <w:rFonts w:asciiTheme="minorHAnsi" w:hAnsiTheme="minorHAnsi" w:cs="Times New Roman"/>
                <w:sz w:val="18"/>
              </w:rPr>
              <w:t xml:space="preserve"> 2010 x PSCU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-0.29</w:t>
            </w:r>
          </w:p>
        </w:tc>
        <w:tc>
          <w:tcPr>
            <w:tcW w:w="97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0.0667</w:t>
            </w:r>
          </w:p>
        </w:tc>
      </w:tr>
    </w:tbl>
    <w:p w:rsidR="00DD0E64" w:rsidRPr="00B61E0B" w:rsidRDefault="00DD0E64" w:rsidP="00DD0E64">
      <w:pPr>
        <w:rPr>
          <w:rFonts w:asciiTheme="minorHAnsi" w:hAnsiTheme="minorHAnsi" w:cs="Times New Roman"/>
          <w:sz w:val="18"/>
        </w:rPr>
      </w:pPr>
      <w:r w:rsidRPr="00B61E0B">
        <w:rPr>
          <w:rFonts w:asciiTheme="minorHAnsi" w:hAnsiTheme="minorHAnsi" w:cs="Times New Roman"/>
          <w:sz w:val="18"/>
        </w:rPr>
        <w:t>Variables = variables for which correlation was assessed, Coefficient (</w:t>
      </w:r>
      <w:r w:rsidRPr="00B61E0B">
        <w:rPr>
          <w:rFonts w:asciiTheme="minorHAnsi" w:hAnsiTheme="minorHAnsi" w:cs="Times New Roman"/>
          <w:i/>
          <w:sz w:val="18"/>
        </w:rPr>
        <w:t>ρ</w:t>
      </w:r>
      <w:r w:rsidRPr="00B61E0B">
        <w:rPr>
          <w:rFonts w:asciiTheme="minorHAnsi" w:hAnsiTheme="minorHAnsi" w:cs="Times New Roman"/>
          <w:sz w:val="18"/>
        </w:rPr>
        <w:t>) = the Spearman’s rank correlation coefficient, P value = the significance of the coefficient. In all analyses n=41. SD = Supply Density, the number of colonies available per hectare of insect-pollinated crop in 2005 or 2010. PSC = Pollination service capacity, the capacity of honeybee stocks to supply pollination services under lower (L), average (A) and upper (U) recommended stocking rate assumptions.</w:t>
      </w:r>
    </w:p>
    <w:p w:rsidR="00DD0E64" w:rsidRPr="00B61E0B" w:rsidRDefault="00DD0E64" w:rsidP="00DD0E64">
      <w:pPr>
        <w:rPr>
          <w:rFonts w:asciiTheme="minorHAnsi" w:hAnsiTheme="minorHAnsi" w:cs="Times New Roman"/>
          <w:b/>
        </w:rPr>
      </w:pPr>
      <w:r>
        <w:rPr>
          <w:rFonts w:asciiTheme="minorHAnsi" w:hAnsiTheme="minorHAnsi" w:cs="Times New Roman"/>
          <w:b/>
        </w:rPr>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 xml:space="preserve">.4 </w:t>
      </w:r>
      <w:r w:rsidRPr="00B61E0B">
        <w:rPr>
          <w:rFonts w:asciiTheme="minorHAnsi" w:hAnsiTheme="minorHAnsi" w:cs="Times New Roman"/>
        </w:rPr>
        <w:t xml:space="preserve">– Results of correlation analysis between supply factors and </w:t>
      </w:r>
      <w:r>
        <w:rPr>
          <w:rFonts w:asciiTheme="minorHAnsi" w:hAnsiTheme="minorHAnsi" w:cs="Times New Roman"/>
        </w:rPr>
        <w:t xml:space="preserve">national insect pollinated crop characteristics </w:t>
      </w:r>
      <w:r w:rsidRPr="00B61E0B">
        <w:rPr>
          <w:rFonts w:asciiTheme="minorHAnsi" w:hAnsiTheme="minorHAnsi" w:cs="Times New Roman"/>
        </w:rPr>
        <w:t>among insect pollinated crop area</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2310"/>
        <w:gridCol w:w="1556"/>
        <w:gridCol w:w="1049"/>
      </w:tblGrid>
      <w:tr w:rsidR="00DD0E64" w:rsidRPr="00B61E0B" w:rsidTr="00C85987">
        <w:tc>
          <w:tcPr>
            <w:tcW w:w="2310"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Variables</w:t>
            </w:r>
          </w:p>
        </w:tc>
        <w:tc>
          <w:tcPr>
            <w:tcW w:w="155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Coefficient (r)</w:t>
            </w:r>
          </w:p>
        </w:tc>
        <w:tc>
          <w:tcPr>
            <w:tcW w:w="1049"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 value</w:t>
            </w:r>
          </w:p>
        </w:tc>
      </w:tr>
      <w:tr w:rsidR="00DD0E64" w:rsidRPr="00B61E0B" w:rsidTr="00C85987">
        <w:tc>
          <w:tcPr>
            <w:tcW w:w="2310" w:type="dxa"/>
            <w:tcBorders>
              <w:top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2005 x OFR 2005</w:t>
            </w:r>
          </w:p>
        </w:tc>
        <w:tc>
          <w:tcPr>
            <w:tcW w:w="1556" w:type="dxa"/>
            <w:tcBorders>
              <w:top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-0.34</w:t>
            </w:r>
          </w:p>
        </w:tc>
        <w:tc>
          <w:tcPr>
            <w:tcW w:w="1049" w:type="dxa"/>
            <w:tcBorders>
              <w:top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0.0293</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2010 x OFR 2010</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-0.54</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PSCL 2005 x OFR 2005</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-0.27</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0.0884</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PSCL 2010 x OFR 2010</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-0.54</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 xml:space="preserve">PSCA 2005 x OFR 2005 </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-0.29</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0.065</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PSCA 2010 x OFR 2010</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-0.51</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rPr>
          <w:trHeight w:val="80"/>
        </w:trPr>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PSCU 2005 x OFR 2005</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-0.29</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0.0686</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PSCU 2010 x OFR 2010</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-0.50</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2005 x BF 2005</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-0.25</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0.1167</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2010 x BF 2010</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-0.30</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0.0576</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PSCL 2005 x BF 2005</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-0.19</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0.2254</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PSCL 2010 x BF 2010</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-0.29</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0.0618</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 xml:space="preserve">PSCA 2005 x BF 2005 </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-0.22</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0.1615</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PSCA 2010 x BF 2010</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-0.28</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0.0764</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PSCU 2005 x BF 2005</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-0.23</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0.1473</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PSCU 2010 x BF 2010</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-0.28</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0.0717</w:t>
            </w:r>
          </w:p>
        </w:tc>
      </w:tr>
    </w:tbl>
    <w:p w:rsidR="00DD0E64" w:rsidRPr="00B61E0B" w:rsidRDefault="00DD0E64" w:rsidP="00DD0E64">
      <w:pPr>
        <w:rPr>
          <w:rFonts w:asciiTheme="minorHAnsi" w:hAnsiTheme="minorHAnsi" w:cs="Times New Roman"/>
          <w:sz w:val="18"/>
        </w:rPr>
      </w:pPr>
      <w:r w:rsidRPr="00B61E0B">
        <w:rPr>
          <w:rFonts w:asciiTheme="minorHAnsi" w:hAnsiTheme="minorHAnsi" w:cs="Times New Roman"/>
          <w:sz w:val="18"/>
        </w:rPr>
        <w:t xml:space="preserve">Variables = variables for which correlation was assessed, Coefficient (r) = the Pearson’s product moment correlation coefficient, P value = the significance of the coefficient. In all analyses n=41. SD = Supply Density, the number of colonies available per hectare of insect-pollinated crop in 2005 or 2010. PSC = Pollination service capacity, the capacity of honey bee stocks to supply pollination services under lower (L), average (A) and upper (U) recommended stocking rate assumptions. OFR = ratio of oilseeds to fruits within insect pollinated crop area. BF = total area of biofuel crops, oilseed rape, sunflower and soybean. </w:t>
      </w:r>
    </w:p>
    <w:p w:rsidR="00DD0E64" w:rsidRDefault="00DD0E64" w:rsidP="00DD0E64">
      <w:pPr>
        <w:rPr>
          <w:rFonts w:asciiTheme="minorHAnsi" w:hAnsiTheme="minorHAnsi" w:cs="Times New Roman"/>
          <w:b/>
        </w:rPr>
      </w:pPr>
      <w:r>
        <w:rPr>
          <w:rFonts w:asciiTheme="minorHAnsi" w:hAnsiTheme="minorHAnsi" w:cs="Times New Roman"/>
          <w:b/>
        </w:rPr>
        <w:br w:type="page"/>
      </w:r>
    </w:p>
    <w:p w:rsidR="00DD0E64" w:rsidRPr="00B61E0B" w:rsidRDefault="00DD0E64" w:rsidP="00DD0E64">
      <w:pPr>
        <w:rPr>
          <w:rFonts w:asciiTheme="minorHAnsi" w:hAnsiTheme="minorHAnsi" w:cs="Times New Roman"/>
          <w:b/>
        </w:rPr>
      </w:pPr>
      <w:r>
        <w:rPr>
          <w:rFonts w:asciiTheme="minorHAnsi" w:hAnsiTheme="minorHAnsi" w:cs="Times New Roman"/>
          <w:b/>
        </w:rPr>
        <w:lastRenderedPageBreak/>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 xml:space="preserve">.5 – </w:t>
      </w:r>
      <w:r w:rsidRPr="00B61E0B">
        <w:rPr>
          <w:rFonts w:asciiTheme="minorHAnsi" w:hAnsiTheme="minorHAnsi" w:cs="Times New Roman"/>
        </w:rPr>
        <w:t>Results of correlation analysis between density of demand for pollination services and ratio of oilseeds to orchards among insect pollinated crop area</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2310"/>
        <w:gridCol w:w="1591"/>
        <w:gridCol w:w="1049"/>
      </w:tblGrid>
      <w:tr w:rsidR="00DD0E64" w:rsidRPr="00B61E0B" w:rsidTr="00C85987">
        <w:tc>
          <w:tcPr>
            <w:tcW w:w="2310"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Variables</w:t>
            </w:r>
          </w:p>
        </w:tc>
        <w:tc>
          <w:tcPr>
            <w:tcW w:w="1591"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Coefficient (</w:t>
            </w:r>
            <w:r w:rsidRPr="00B61E0B">
              <w:rPr>
                <w:rFonts w:asciiTheme="minorHAnsi" w:hAnsiTheme="minorHAnsi" w:cs="Times New Roman"/>
                <w:i/>
                <w:sz w:val="18"/>
                <w:szCs w:val="18"/>
              </w:rPr>
              <w:t>ρ</w:t>
            </w:r>
            <w:r w:rsidRPr="00B61E0B">
              <w:rPr>
                <w:rFonts w:asciiTheme="minorHAnsi" w:hAnsiTheme="minorHAnsi" w:cs="Times New Roman"/>
                <w:sz w:val="18"/>
                <w:szCs w:val="18"/>
              </w:rPr>
              <w:t>)</w:t>
            </w:r>
          </w:p>
        </w:tc>
        <w:tc>
          <w:tcPr>
            <w:tcW w:w="1049"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P value</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DDL 2005 x OFR 2005</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-0.36</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0.0201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DDL 2010 x OFR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-0.43</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0.0046</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 xml:space="preserve">DDA 2005 x OFR 2005 </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-0.63</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DDA 2010 x OFR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-0.64</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rPr>
          <w:trHeight w:val="80"/>
        </w:trPr>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DDU 2005 x OFR 2005</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-0.68</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DDU 2010 x OFR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-0.64</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DDL 2005 x BF 2005</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-0.28</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0.0793</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DDL 2010 x BF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-0.29</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0.0645</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 xml:space="preserve">DDA 2005 x BF 2005 </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-0.62</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DDA 2010 x BF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-0.65</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DDU 2005 x BF 2005</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-0.63</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r w:rsidR="00DD0E64" w:rsidRPr="00B61E0B" w:rsidTr="00C85987">
        <w:tc>
          <w:tcPr>
            <w:tcW w:w="2310"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DDU 2010 x BF 2010</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-0.66</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&lt;0.0001</w:t>
            </w:r>
          </w:p>
        </w:tc>
      </w:tr>
    </w:tbl>
    <w:p w:rsidR="00DD0E64" w:rsidRPr="00B61E0B" w:rsidRDefault="00DD0E64" w:rsidP="00DD0E64">
      <w:pPr>
        <w:rPr>
          <w:rFonts w:asciiTheme="minorHAnsi" w:hAnsiTheme="minorHAnsi" w:cs="Times New Roman"/>
          <w:sz w:val="18"/>
        </w:rPr>
      </w:pPr>
      <w:r w:rsidRPr="00B61E0B">
        <w:rPr>
          <w:rFonts w:asciiTheme="minorHAnsi" w:hAnsiTheme="minorHAnsi" w:cs="Times New Roman"/>
          <w:sz w:val="18"/>
        </w:rPr>
        <w:t>Variables = variables for which correlation was assessed, Coefficient (r) = the Pearson’s product moment correlation coefficient, P value = the significance of the coefficient. In all analyses n=41. DD = Density of Demand, (the mean number of honey bee colonies required per hectare of insect pollinated crop, weighted by the area of each crop and divided by two to take into account the potential for hive movement within a year) at lower (L), average (A) and upper (U) recommended stocking rate assumptions. OFR = ratio of oilseeds to fruits within insect-pollinated crop area.</w:t>
      </w:r>
    </w:p>
    <w:p w:rsidR="00DD0E64" w:rsidRPr="00B61E0B" w:rsidRDefault="00DD0E64" w:rsidP="00DD0E64">
      <w:pPr>
        <w:rPr>
          <w:rFonts w:asciiTheme="minorHAnsi" w:hAnsiTheme="minorHAnsi" w:cs="Times New Roman"/>
          <w:b/>
        </w:rPr>
      </w:pPr>
      <w:r w:rsidRPr="00B61E0B">
        <w:rPr>
          <w:rFonts w:asciiTheme="minorHAnsi" w:hAnsiTheme="minorHAnsi" w:cs="Times New Roman"/>
          <w:b/>
        </w:rPr>
        <w:br w:type="page"/>
      </w:r>
    </w:p>
    <w:p w:rsidR="00DD0E64" w:rsidRPr="00B61E0B" w:rsidRDefault="00DD0E64" w:rsidP="00DD0E64">
      <w:pPr>
        <w:rPr>
          <w:rFonts w:asciiTheme="minorHAnsi" w:hAnsiTheme="minorHAnsi" w:cs="Times New Roman"/>
          <w:b/>
        </w:rPr>
      </w:pPr>
      <w:r>
        <w:rPr>
          <w:rFonts w:asciiTheme="minorHAnsi" w:hAnsiTheme="minorHAnsi" w:cs="Times New Roman"/>
          <w:b/>
        </w:rPr>
        <w:lastRenderedPageBreak/>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 xml:space="preserve">.6 – </w:t>
      </w:r>
      <w:r w:rsidRPr="00B61E0B">
        <w:rPr>
          <w:rFonts w:asciiTheme="minorHAnsi" w:hAnsiTheme="minorHAnsi" w:cs="Times New Roman"/>
        </w:rPr>
        <w:t>Results of correlation analysis between changes in density of demand and changes in other variables</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1705"/>
        <w:gridCol w:w="1591"/>
        <w:gridCol w:w="1049"/>
      </w:tblGrid>
      <w:tr w:rsidR="00DD0E64" w:rsidRPr="00B61E0B" w:rsidTr="00C85987">
        <w:tc>
          <w:tcPr>
            <w:tcW w:w="1705"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Variables</w:t>
            </w:r>
          </w:p>
        </w:tc>
        <w:tc>
          <w:tcPr>
            <w:tcW w:w="1591"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Coefficient (</w:t>
            </w:r>
            <w:r w:rsidRPr="00B61E0B">
              <w:rPr>
                <w:rFonts w:asciiTheme="minorHAnsi" w:hAnsiTheme="minorHAnsi" w:cs="Times New Roman"/>
                <w:i/>
                <w:sz w:val="18"/>
              </w:rPr>
              <w:t>ρ</w:t>
            </w:r>
            <w:r w:rsidRPr="00B61E0B">
              <w:rPr>
                <w:rFonts w:asciiTheme="minorHAnsi" w:hAnsiTheme="minorHAnsi" w:cs="Times New Roman"/>
                <w:sz w:val="18"/>
              </w:rPr>
              <w:t>)</w:t>
            </w:r>
          </w:p>
        </w:tc>
        <w:tc>
          <w:tcPr>
            <w:tcW w:w="1049"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 value</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DDL x Δ SD</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0.0097</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DDA x Δ SD</w:t>
            </w:r>
          </w:p>
        </w:tc>
        <w:tc>
          <w:tcPr>
            <w:tcW w:w="1591"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0.07</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0.6536</w:t>
            </w:r>
          </w:p>
        </w:tc>
      </w:tr>
      <w:tr w:rsidR="00DD0E64" w:rsidRPr="00B61E0B" w:rsidTr="00C85987">
        <w:trPr>
          <w:trHeight w:val="80"/>
        </w:trPr>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DDU x Δ SD</w:t>
            </w:r>
          </w:p>
        </w:tc>
        <w:tc>
          <w:tcPr>
            <w:tcW w:w="1591"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0.08</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0.6173</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DDL x Δ PSCL</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0.27</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0.0849</w:t>
            </w:r>
          </w:p>
        </w:tc>
      </w:tr>
      <w:tr w:rsidR="00DD0E64" w:rsidRPr="00B61E0B" w:rsidTr="00C85987">
        <w:tc>
          <w:tcPr>
            <w:tcW w:w="1705" w:type="dxa"/>
            <w:tcBorders>
              <w:top w:val="nil"/>
              <w:bottom w:val="nil"/>
            </w:tcBorders>
            <w:shd w:val="clear" w:color="auto" w:fill="D9D9D9" w:themeFill="background1" w:themeFillShade="D9"/>
          </w:tcPr>
          <w:p w:rsidR="00DD0E64" w:rsidRPr="00155CFF" w:rsidRDefault="00DD0E64" w:rsidP="00C85987">
            <w:pPr>
              <w:spacing w:after="0"/>
              <w:rPr>
                <w:rFonts w:asciiTheme="minorHAnsi" w:hAnsiTheme="minorHAnsi" w:cs="Times New Roman"/>
                <w:sz w:val="18"/>
                <w:lang w:val="nl-NL"/>
              </w:rPr>
            </w:pPr>
            <w:r w:rsidRPr="00B61E0B">
              <w:rPr>
                <w:rFonts w:asciiTheme="minorHAnsi" w:hAnsiTheme="minorHAnsi" w:cs="Times New Roman"/>
                <w:sz w:val="18"/>
              </w:rPr>
              <w:t>Δ</w:t>
            </w:r>
            <w:r w:rsidRPr="00155CFF">
              <w:rPr>
                <w:rFonts w:asciiTheme="minorHAnsi" w:hAnsiTheme="minorHAnsi" w:cs="Times New Roman"/>
                <w:sz w:val="18"/>
                <w:lang w:val="nl-NL"/>
              </w:rPr>
              <w:t xml:space="preserve"> DDA x </w:t>
            </w:r>
            <w:r w:rsidRPr="00B61E0B">
              <w:rPr>
                <w:rFonts w:asciiTheme="minorHAnsi" w:hAnsiTheme="minorHAnsi" w:cs="Times New Roman"/>
                <w:sz w:val="18"/>
              </w:rPr>
              <w:t>Δ</w:t>
            </w:r>
            <w:r w:rsidRPr="00155CFF">
              <w:rPr>
                <w:rFonts w:asciiTheme="minorHAnsi" w:hAnsiTheme="minorHAnsi" w:cs="Times New Roman"/>
                <w:sz w:val="18"/>
                <w:lang w:val="nl-NL"/>
              </w:rPr>
              <w:t xml:space="preserve"> PSCA</w:t>
            </w:r>
          </w:p>
        </w:tc>
        <w:tc>
          <w:tcPr>
            <w:tcW w:w="1591"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-0.01</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0.9595</w:t>
            </w:r>
          </w:p>
        </w:tc>
      </w:tr>
      <w:tr w:rsidR="00DD0E64" w:rsidRPr="00B61E0B" w:rsidTr="00C85987">
        <w:trPr>
          <w:trHeight w:val="80"/>
        </w:trPr>
        <w:tc>
          <w:tcPr>
            <w:tcW w:w="1705"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DDU x Δ PSCU</w:t>
            </w:r>
          </w:p>
        </w:tc>
        <w:tc>
          <w:tcPr>
            <w:tcW w:w="1591"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-0.06</w:t>
            </w:r>
          </w:p>
        </w:tc>
        <w:tc>
          <w:tcPr>
            <w:tcW w:w="1049"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0.7288</w:t>
            </w:r>
          </w:p>
        </w:tc>
      </w:tr>
      <w:tr w:rsidR="00DD0E64" w:rsidRPr="00B61E0B" w:rsidTr="00C85987">
        <w:tc>
          <w:tcPr>
            <w:tcW w:w="1705"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DDL x Δ OFR</w:t>
            </w:r>
          </w:p>
        </w:tc>
        <w:tc>
          <w:tcPr>
            <w:tcW w:w="1591"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-0.47</w:t>
            </w:r>
          </w:p>
        </w:tc>
        <w:tc>
          <w:tcPr>
            <w:tcW w:w="1049"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0.019</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DDA x Δ OFR</w:t>
            </w:r>
          </w:p>
        </w:tc>
        <w:tc>
          <w:tcPr>
            <w:tcW w:w="1591"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-0.53</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rPr>
          <w:trHeight w:val="80"/>
        </w:trPr>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DDU x Δ OFR</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-0.67</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DDL x Δ BF</w:t>
            </w:r>
          </w:p>
        </w:tc>
        <w:tc>
          <w:tcPr>
            <w:tcW w:w="1591"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-0.53</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DDA x Δ BF</w:t>
            </w:r>
          </w:p>
        </w:tc>
        <w:tc>
          <w:tcPr>
            <w:tcW w:w="1591"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-0.44</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0.0046</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DDU x Δ BF</w:t>
            </w:r>
          </w:p>
        </w:tc>
        <w:tc>
          <w:tcPr>
            <w:tcW w:w="1591"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-0.44</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0.0042</w:t>
            </w:r>
          </w:p>
        </w:tc>
      </w:tr>
    </w:tbl>
    <w:p w:rsidR="00DD0E64" w:rsidRPr="00B61E0B" w:rsidRDefault="00DD0E64" w:rsidP="00DD0E64">
      <w:pPr>
        <w:rPr>
          <w:rFonts w:asciiTheme="minorHAnsi" w:hAnsiTheme="minorHAnsi" w:cs="Times New Roman"/>
          <w:sz w:val="18"/>
        </w:rPr>
      </w:pPr>
      <w:r w:rsidRPr="00B61E0B">
        <w:rPr>
          <w:rFonts w:asciiTheme="minorHAnsi" w:hAnsiTheme="minorHAnsi" w:cs="Times New Roman"/>
          <w:sz w:val="18"/>
        </w:rPr>
        <w:t>Variables = variables for which correlation was assessed, Coefficient (r) = the Pearson’s product moment correlation coefficient, P value = the significance of the coefficient. In all analyses n=41. Δ DD = % change in Density of Demand, (the mean number of honey bee colonies required per hectare of insect-pollinated crop, weighted by the area of each crop and divided by two to represent the potential for hive movement within a year) at lower (L), average (A) and upper (U) recommended stocking rate assumptions between 2005 and 2010. Δ SD = Supply Density, the number of colonies available per hectare of insect-pollinated crop between 2005 and 2010. Δ PSC = % change in Pollination service capacity, the capacity of honey bee stocks to supply pollination services under lower (L), average (A) and upper (U) recommended stocking rate assumptions. Δ OFR = % change in the ratio of oilseeds to fruits within insect-pollinated crop area between 2005 and 2010. Δ BF = % change in the total area of biofuel crops, oilseed rape, sunflower and soybean between 2005 and 2010.</w:t>
      </w:r>
      <w:r>
        <w:rPr>
          <w:rFonts w:asciiTheme="minorHAnsi" w:hAnsiTheme="minorHAnsi" w:cs="Times New Roman"/>
          <w:sz w:val="18"/>
        </w:rPr>
        <w:t xml:space="preserve"> Note, as an outlier, Greece was excluded from all </w:t>
      </w:r>
      <w:r w:rsidRPr="00B61E0B">
        <w:rPr>
          <w:rFonts w:asciiTheme="minorHAnsi" w:hAnsiTheme="minorHAnsi" w:cs="Times New Roman"/>
          <w:sz w:val="18"/>
        </w:rPr>
        <w:t>Δ BF</w:t>
      </w:r>
      <w:r>
        <w:rPr>
          <w:rFonts w:asciiTheme="minorHAnsi" w:hAnsiTheme="minorHAnsi" w:cs="Times New Roman"/>
          <w:sz w:val="18"/>
        </w:rPr>
        <w:t xml:space="preserve"> analyses.</w:t>
      </w:r>
    </w:p>
    <w:p w:rsidR="00DD0E64" w:rsidRPr="00B61E0B" w:rsidRDefault="00DD0E64" w:rsidP="00DD0E64">
      <w:pPr>
        <w:rPr>
          <w:rFonts w:asciiTheme="minorHAnsi" w:hAnsiTheme="minorHAnsi" w:cs="Times New Roman"/>
          <w:b/>
        </w:rPr>
      </w:pPr>
      <w:r>
        <w:rPr>
          <w:rFonts w:asciiTheme="minorHAnsi" w:hAnsiTheme="minorHAnsi" w:cs="Times New Roman"/>
          <w:b/>
        </w:rPr>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.7 –</w:t>
      </w:r>
      <w:r w:rsidRPr="00B61E0B">
        <w:rPr>
          <w:rFonts w:asciiTheme="minorHAnsi" w:hAnsiTheme="minorHAnsi" w:cs="Times New Roman"/>
        </w:rPr>
        <w:t xml:space="preserve"> Results of correlation analysis between changes in supply factors and changes in other variables</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1705"/>
        <w:gridCol w:w="1556"/>
        <w:gridCol w:w="1049"/>
      </w:tblGrid>
      <w:tr w:rsidR="00DD0E64" w:rsidRPr="00B61E0B" w:rsidTr="00C85987">
        <w:tc>
          <w:tcPr>
            <w:tcW w:w="1705"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Variables</w:t>
            </w:r>
          </w:p>
        </w:tc>
        <w:tc>
          <w:tcPr>
            <w:tcW w:w="155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Coefficient (r)</w:t>
            </w:r>
          </w:p>
        </w:tc>
        <w:tc>
          <w:tcPr>
            <w:tcW w:w="1049"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 value</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 xml:space="preserve">Δ Area x Δ </w:t>
            </w:r>
            <w:r>
              <w:rPr>
                <w:rFonts w:asciiTheme="minorHAnsi" w:hAnsiTheme="minorHAnsi" w:cs="Times New Roman"/>
                <w:sz w:val="18"/>
              </w:rPr>
              <w:t>HB</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-0.3</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0.0548</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Area x Δ OFR</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0.01</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0.9584</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SD x Δ OFR</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-0.09</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0.5946</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PSCL x Δ OFR</w:t>
            </w:r>
          </w:p>
        </w:tc>
        <w:tc>
          <w:tcPr>
            <w:tcW w:w="155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-0.09</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0.5782</w:t>
            </w:r>
          </w:p>
        </w:tc>
      </w:tr>
      <w:tr w:rsidR="00DD0E64" w:rsidRPr="00B61E0B" w:rsidTr="00C85987">
        <w:trPr>
          <w:trHeight w:val="80"/>
        </w:trPr>
        <w:tc>
          <w:tcPr>
            <w:tcW w:w="1705"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PSCA x Δ OFR</w:t>
            </w:r>
          </w:p>
        </w:tc>
        <w:tc>
          <w:tcPr>
            <w:tcW w:w="1556"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-0.06</w:t>
            </w:r>
          </w:p>
        </w:tc>
        <w:tc>
          <w:tcPr>
            <w:tcW w:w="1049"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0.7146</w:t>
            </w:r>
          </w:p>
        </w:tc>
      </w:tr>
      <w:tr w:rsidR="00DD0E64" w:rsidRPr="00B61E0B" w:rsidTr="00C85987">
        <w:tc>
          <w:tcPr>
            <w:tcW w:w="1705"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PSCU x Δ OFR</w:t>
            </w:r>
          </w:p>
        </w:tc>
        <w:tc>
          <w:tcPr>
            <w:tcW w:w="1556"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-0.05</w:t>
            </w:r>
          </w:p>
        </w:tc>
        <w:tc>
          <w:tcPr>
            <w:tcW w:w="1049"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0.7703</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Area x Δ BF</w:t>
            </w:r>
          </w:p>
        </w:tc>
        <w:tc>
          <w:tcPr>
            <w:tcW w:w="155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w:t>
            </w:r>
            <w:r>
              <w:rPr>
                <w:rFonts w:asciiTheme="minorHAnsi" w:hAnsiTheme="minorHAnsi" w:cs="Times New Roman"/>
                <w:sz w:val="18"/>
              </w:rPr>
              <w:t>79</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SD x Δ BF</w:t>
            </w:r>
          </w:p>
        </w:tc>
        <w:tc>
          <w:tcPr>
            <w:tcW w:w="155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w:t>
            </w:r>
            <w:r>
              <w:rPr>
                <w:rFonts w:asciiTheme="minorHAnsi" w:hAnsiTheme="minorHAnsi" w:cs="Times New Roman"/>
                <w:sz w:val="18"/>
              </w:rPr>
              <w:t>59</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rPr>
          <w:trHeight w:val="80"/>
        </w:trPr>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PSCL x Δ BF</w:t>
            </w:r>
          </w:p>
        </w:tc>
        <w:tc>
          <w:tcPr>
            <w:tcW w:w="155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-0.5</w:t>
            </w:r>
            <w:r w:rsidRPr="00B61E0B">
              <w:rPr>
                <w:rFonts w:asciiTheme="minorHAnsi" w:hAnsiTheme="minorHAnsi" w:cs="Times New Roman"/>
                <w:sz w:val="18"/>
              </w:rPr>
              <w:t>2</w:t>
            </w:r>
          </w:p>
        </w:tc>
        <w:tc>
          <w:tcPr>
            <w:tcW w:w="104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PSCA x Δ BF</w:t>
            </w:r>
          </w:p>
        </w:tc>
        <w:tc>
          <w:tcPr>
            <w:tcW w:w="155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-0.53</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PSCU x Δ BF</w:t>
            </w:r>
          </w:p>
        </w:tc>
        <w:tc>
          <w:tcPr>
            <w:tcW w:w="155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-0.52</w:t>
            </w:r>
          </w:p>
        </w:tc>
        <w:tc>
          <w:tcPr>
            <w:tcW w:w="104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&lt;0.0001</w:t>
            </w:r>
          </w:p>
        </w:tc>
      </w:tr>
      <w:tr w:rsidR="00DD0E64" w:rsidRPr="00B61E0B" w:rsidTr="00C85987">
        <w:tc>
          <w:tcPr>
            <w:tcW w:w="1705" w:type="dxa"/>
            <w:tcBorders>
              <w:top w:val="nil"/>
              <w:bottom w:val="single" w:sz="2"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OOR x Δ BF</w:t>
            </w:r>
          </w:p>
        </w:tc>
        <w:tc>
          <w:tcPr>
            <w:tcW w:w="1556" w:type="dxa"/>
            <w:tcBorders>
              <w:top w:val="nil"/>
              <w:bottom w:val="single" w:sz="2"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0.45</w:t>
            </w:r>
          </w:p>
        </w:tc>
        <w:tc>
          <w:tcPr>
            <w:tcW w:w="1049" w:type="dxa"/>
            <w:tcBorders>
              <w:top w:val="nil"/>
              <w:bottom w:val="single" w:sz="2"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0.0038</w:t>
            </w:r>
          </w:p>
        </w:tc>
      </w:tr>
    </w:tbl>
    <w:p w:rsidR="00DD0E64" w:rsidRPr="00B61E0B" w:rsidRDefault="00DD0E64" w:rsidP="00DD0E64">
      <w:pPr>
        <w:rPr>
          <w:rFonts w:asciiTheme="minorHAnsi" w:hAnsiTheme="minorHAnsi" w:cs="Times New Roman"/>
          <w:sz w:val="18"/>
        </w:rPr>
      </w:pPr>
      <w:r w:rsidRPr="00B61E0B">
        <w:rPr>
          <w:rFonts w:asciiTheme="minorHAnsi" w:hAnsiTheme="minorHAnsi" w:cs="Times New Roman"/>
          <w:sz w:val="18"/>
        </w:rPr>
        <w:t xml:space="preserve">Variables = variables for which correlation was assessed, Coefficient (r) = the Pearson’s product moment correlation coefficient, P value = the significance of the coefficient. In all analyses n=41. Δ Area = % change in the total area of insect-pollinated crops between 2005 and 2010. Δ DD = % change in Density of Demand, (the mean number of honey bee colonies required per hectare of insect-pollinated crop, weighted by the area of each crop and divided by two to take into account the potential for hive movement within a year) at lower (L), average (A) and upper (U) recommended stocking rate assumptions between 2005 and 2010. Δ SD = Supply Density, the number of colonies available per hectare of insect-pollinated crop between 2005 and 2010. Δ PSC = % change in Pollination service capacity, the capacity of honeybee stocks to supply pollination services under lower (L), average (A) and upper (U) recommended stocking rate assumptions. Δ OFR = % change in the ratio of oilseeds to orchard fruits within insect-pollinated crop area between 2005 and 2010. Δ BF = % change in the total area of biofuel crops, oilseed rape, sunflower and soybean between 2005 and 2010. Note; </w:t>
      </w:r>
      <w:r w:rsidRPr="00B61E0B">
        <w:rPr>
          <w:rFonts w:asciiTheme="minorHAnsi" w:hAnsiTheme="minorHAnsi" w:cs="Times New Roman"/>
        </w:rPr>
        <w:t>Δ</w:t>
      </w:r>
      <w:r w:rsidRPr="00B61E0B">
        <w:rPr>
          <w:rFonts w:asciiTheme="minorHAnsi" w:hAnsiTheme="minorHAnsi" w:cs="Times New Roman"/>
          <w:sz w:val="18"/>
        </w:rPr>
        <w:t xml:space="preserve"> SD </w:t>
      </w:r>
      <w:r w:rsidRPr="00B61E0B">
        <w:rPr>
          <w:rFonts w:asciiTheme="minorHAnsi" w:hAnsiTheme="minorHAnsi" w:cs="Times New Roman"/>
          <w:sz w:val="18"/>
        </w:rPr>
        <w:lastRenderedPageBreak/>
        <w:t xml:space="preserve">correlates perfectly with </w:t>
      </w:r>
      <w:r w:rsidRPr="00B61E0B">
        <w:rPr>
          <w:rFonts w:asciiTheme="minorHAnsi" w:hAnsiTheme="minorHAnsi" w:cs="Times New Roman"/>
        </w:rPr>
        <w:t>Δ</w:t>
      </w:r>
      <w:r w:rsidRPr="00B61E0B">
        <w:rPr>
          <w:rFonts w:asciiTheme="minorHAnsi" w:hAnsiTheme="minorHAnsi" w:cs="Times New Roman"/>
          <w:sz w:val="18"/>
        </w:rPr>
        <w:t xml:space="preserve"> PSC at all recommended stocking rates.</w:t>
      </w:r>
      <w:r>
        <w:rPr>
          <w:rFonts w:asciiTheme="minorHAnsi" w:hAnsiTheme="minorHAnsi" w:cs="Times New Roman"/>
          <w:sz w:val="18"/>
        </w:rPr>
        <w:t xml:space="preserve"> Note, as an outlier, Greece was excluded from all </w:t>
      </w:r>
      <w:r w:rsidRPr="00B61E0B">
        <w:rPr>
          <w:rFonts w:asciiTheme="minorHAnsi" w:hAnsiTheme="minorHAnsi" w:cs="Times New Roman"/>
          <w:sz w:val="18"/>
        </w:rPr>
        <w:t>Δ BF</w:t>
      </w:r>
      <w:r>
        <w:rPr>
          <w:rFonts w:asciiTheme="minorHAnsi" w:hAnsiTheme="minorHAnsi" w:cs="Times New Roman"/>
          <w:sz w:val="18"/>
        </w:rPr>
        <w:t xml:space="preserve"> analyses.</w:t>
      </w:r>
    </w:p>
    <w:p w:rsidR="00DD0E64" w:rsidRPr="00B61E0B" w:rsidRDefault="00DD0E64" w:rsidP="00DD0E64">
      <w:pPr>
        <w:rPr>
          <w:rFonts w:asciiTheme="minorHAnsi" w:hAnsiTheme="minorHAnsi" w:cs="Times New Roman"/>
          <w:b/>
        </w:rPr>
      </w:pPr>
      <w:r>
        <w:rPr>
          <w:rFonts w:asciiTheme="minorHAnsi" w:hAnsiTheme="minorHAnsi" w:cs="Times New Roman"/>
          <w:b/>
        </w:rPr>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 xml:space="preserve">.8 – </w:t>
      </w:r>
      <w:r w:rsidRPr="00B61E0B">
        <w:rPr>
          <w:rFonts w:asciiTheme="minorHAnsi" w:hAnsiTheme="minorHAnsi" w:cs="Times New Roman"/>
        </w:rPr>
        <w:t>Results of categorical regression analysis of the significance in variation between EU and non-EU member states</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1705"/>
        <w:gridCol w:w="1216"/>
        <w:gridCol w:w="1076"/>
        <w:gridCol w:w="1076"/>
      </w:tblGrid>
      <w:tr w:rsidR="00DD0E64" w:rsidRPr="00B61E0B" w:rsidTr="00C85987">
        <w:tc>
          <w:tcPr>
            <w:tcW w:w="1705"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Variables</w:t>
            </w:r>
          </w:p>
        </w:tc>
        <w:tc>
          <w:tcPr>
            <w:tcW w:w="121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Α</w:t>
            </w:r>
          </w:p>
        </w:tc>
        <w:tc>
          <w:tcPr>
            <w:tcW w:w="107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EU-12</w:t>
            </w:r>
          </w:p>
        </w:tc>
        <w:tc>
          <w:tcPr>
            <w:tcW w:w="107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EU-15</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2005</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2.1536</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-0.2061</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-0.5636</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2010</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2.7400</w:t>
            </w:r>
            <w:r w:rsidRPr="00B61E0B">
              <w:rPr>
                <w:rFonts w:asciiTheme="minorHAnsi" w:hAnsiTheme="minorHAnsi" w:cs="Times New Roman"/>
                <w:sz w:val="18"/>
                <w:vertAlign w:val="superscript"/>
              </w:rPr>
              <w:t>***</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-1.0025</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-1.2400</w:t>
            </w:r>
          </w:p>
        </w:tc>
      </w:tr>
      <w:tr w:rsidR="00DD0E64" w:rsidRPr="00B61E0B" w:rsidTr="00C85987">
        <w:trPr>
          <w:trHeight w:val="80"/>
        </w:trPr>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DDL 2005</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-0.5309</w:t>
            </w:r>
            <w:r w:rsidRPr="00B61E0B">
              <w:rPr>
                <w:rFonts w:asciiTheme="minorHAnsi" w:hAnsiTheme="minorHAnsi" w:cs="Times New Roman"/>
                <w:sz w:val="18"/>
                <w:vertAlign w:val="superscript"/>
              </w:rPr>
              <w:t>***</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-0.0549</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0.0355</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DDL 2010</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-0.5181</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-0.0919</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-0.0046</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DDA 2005</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0.4501</w:t>
            </w:r>
            <w:r w:rsidRPr="00B61E0B">
              <w:rPr>
                <w:rFonts w:asciiTheme="minorHAnsi" w:hAnsiTheme="minorHAnsi" w:cs="Times New Roman"/>
                <w:sz w:val="18"/>
                <w:vertAlign w:val="superscript"/>
              </w:rPr>
              <w:t>***</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-0.0548</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0.0581</w:t>
            </w:r>
          </w:p>
        </w:tc>
      </w:tr>
      <w:tr w:rsidR="00DD0E64" w:rsidRPr="00B61E0B" w:rsidTr="00C85987">
        <w:trPr>
          <w:trHeight w:val="80"/>
        </w:trPr>
        <w:tc>
          <w:tcPr>
            <w:tcW w:w="1705"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DDA 2010</w:t>
            </w:r>
          </w:p>
        </w:tc>
        <w:tc>
          <w:tcPr>
            <w:tcW w:w="1216"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0.4430</w:t>
            </w:r>
            <w:r w:rsidRPr="00B61E0B">
              <w:rPr>
                <w:rFonts w:asciiTheme="minorHAnsi" w:hAnsiTheme="minorHAnsi" w:cs="Times New Roman"/>
                <w:sz w:val="18"/>
                <w:vertAlign w:val="superscript"/>
              </w:rPr>
              <w:t>***</w:t>
            </w:r>
          </w:p>
        </w:tc>
        <w:tc>
          <w:tcPr>
            <w:tcW w:w="1076"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-0.0504</w:t>
            </w:r>
          </w:p>
        </w:tc>
        <w:tc>
          <w:tcPr>
            <w:tcW w:w="1076"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0.0338</w:t>
            </w:r>
          </w:p>
        </w:tc>
      </w:tr>
      <w:tr w:rsidR="00DD0E64" w:rsidRPr="00B61E0B" w:rsidTr="00C85987">
        <w:tc>
          <w:tcPr>
            <w:tcW w:w="1705"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DDU 2005</w:t>
            </w:r>
          </w:p>
        </w:tc>
        <w:tc>
          <w:tcPr>
            <w:tcW w:w="1216"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1.1439</w:t>
            </w:r>
            <w:r w:rsidRPr="00B61E0B">
              <w:rPr>
                <w:rFonts w:asciiTheme="minorHAnsi" w:hAnsiTheme="minorHAnsi" w:cs="Times New Roman"/>
                <w:sz w:val="18"/>
                <w:vertAlign w:val="superscript"/>
              </w:rPr>
              <w:t>***</w:t>
            </w:r>
          </w:p>
        </w:tc>
        <w:tc>
          <w:tcPr>
            <w:tcW w:w="1076"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-0.0876</w:t>
            </w:r>
          </w:p>
        </w:tc>
        <w:tc>
          <w:tcPr>
            <w:tcW w:w="1076"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-0.0106</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DDU 2010</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1.1237</w:t>
            </w:r>
            <w:r w:rsidRPr="00B61E0B">
              <w:rPr>
                <w:rFonts w:asciiTheme="minorHAnsi" w:hAnsiTheme="minorHAnsi" w:cs="Times New Roman"/>
                <w:sz w:val="18"/>
                <w:vertAlign w:val="superscript"/>
              </w:rPr>
              <w:t>***</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-0.1128</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-0.0320</w:t>
            </w:r>
          </w:p>
        </w:tc>
      </w:tr>
      <w:tr w:rsidR="00DD0E64" w:rsidRPr="00B61E0B" w:rsidTr="00C85987">
        <w:trPr>
          <w:trHeight w:val="80"/>
        </w:trPr>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PSCL 2005</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3.6136</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0.5673</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-0.9349</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PSCL 2010</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4.4964</w:t>
            </w:r>
            <w:r w:rsidRPr="00B61E0B">
              <w:rPr>
                <w:rFonts w:asciiTheme="minorHAnsi" w:hAnsiTheme="minorHAnsi" w:cs="Times New Roman"/>
                <w:sz w:val="18"/>
                <w:vertAlign w:val="superscript"/>
              </w:rPr>
              <w:t>***</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-2.6873</w:t>
            </w:r>
            <w:r w:rsidRPr="00B61E0B">
              <w:rPr>
                <w:rFonts w:asciiTheme="minorHAnsi" w:hAnsiTheme="minorHAnsi" w:cs="Times New Roman"/>
                <w:sz w:val="18"/>
                <w:vertAlign w:val="superscript"/>
              </w:rPr>
              <w:t>*</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-1.9264</w:t>
            </w:r>
            <w:r w:rsidRPr="00B61E0B">
              <w:rPr>
                <w:rFonts w:asciiTheme="minorHAnsi" w:hAnsiTheme="minorHAnsi" w:cs="Times New Roman"/>
                <w:sz w:val="18"/>
                <w:vertAlign w:val="superscript"/>
              </w:rPr>
              <w:t>*</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PSCA 2005</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1.2436</w:t>
            </w:r>
            <w:r w:rsidRPr="00B61E0B">
              <w:rPr>
                <w:rFonts w:asciiTheme="minorHAnsi" w:hAnsiTheme="minorHAnsi" w:cs="Times New Roman"/>
                <w:sz w:val="18"/>
                <w:vertAlign w:val="superscript"/>
              </w:rPr>
              <w:t>***</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-0.0269</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-0.3122</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PSCA 2010</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1.6257</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-0.5382</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-0.7337</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PSCU 2005</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0.6214</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-0.0256</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-0.1328</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PSCU 2005</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0.8207</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-0.2615</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-0.3487</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OFR 2005</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2.312</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 xml:space="preserve">5.029 </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4.815</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OFR 2010</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3.077</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8.372</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7.625</w:t>
            </w:r>
            <w:r w:rsidRPr="00B61E0B">
              <w:rPr>
                <w:rFonts w:asciiTheme="minorHAnsi" w:hAnsiTheme="minorHAnsi" w:cs="Times New Roman"/>
                <w:sz w:val="18"/>
                <w:vertAlign w:val="superscript"/>
              </w:rPr>
              <w:t>*</w:t>
            </w:r>
          </w:p>
        </w:tc>
      </w:tr>
    </w:tbl>
    <w:p w:rsidR="00DD0E64" w:rsidRPr="00B61E0B" w:rsidRDefault="00DD0E64" w:rsidP="00DD0E64">
      <w:pPr>
        <w:rPr>
          <w:rFonts w:asciiTheme="minorHAnsi" w:hAnsiTheme="minorHAnsi" w:cs="Times New Roman"/>
          <w:sz w:val="18"/>
          <w:szCs w:val="18"/>
        </w:rPr>
      </w:pPr>
      <w:r w:rsidRPr="00B61E0B">
        <w:rPr>
          <w:rFonts w:asciiTheme="minorHAnsi" w:hAnsiTheme="minorHAnsi" w:cs="Times New Roman"/>
          <w:sz w:val="18"/>
          <w:szCs w:val="18"/>
        </w:rPr>
        <w:t xml:space="preserve">Variables = Variable assessed, α = regression intercept coefficient, EU-15 = slope coefficient for the 15 pre-2004 members of the European Union, EU-12 = slope coefficient for members of the EU joining in or after 2004. Significance: </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P&lt;0.0001,</w:t>
      </w:r>
      <w:r w:rsidRPr="00B61E0B">
        <w:rPr>
          <w:rFonts w:asciiTheme="minorHAnsi" w:hAnsiTheme="minorHAnsi" w:cs="Times New Roman"/>
          <w:sz w:val="18"/>
          <w:szCs w:val="18"/>
          <w:vertAlign w:val="superscript"/>
        </w:rPr>
        <w:t xml:space="preserve"> ** </w:t>
      </w:r>
      <w:r w:rsidRPr="00B61E0B">
        <w:rPr>
          <w:rFonts w:asciiTheme="minorHAnsi" w:hAnsiTheme="minorHAnsi" w:cs="Times New Roman"/>
          <w:sz w:val="18"/>
          <w:szCs w:val="18"/>
        </w:rPr>
        <w:t xml:space="preserve">= P&lt;0.01, </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P&lt;0.05, + = P&lt;0.1. SD = Supply Density, the number of colonies available per hectare of insect</w:t>
      </w:r>
      <w:r w:rsidRPr="00B61E0B">
        <w:rPr>
          <w:rFonts w:asciiTheme="minorHAnsi" w:hAnsiTheme="minorHAnsi" w:cs="Times New Roman"/>
          <w:sz w:val="18"/>
        </w:rPr>
        <w:t>-</w:t>
      </w:r>
      <w:r w:rsidRPr="00B61E0B">
        <w:rPr>
          <w:rFonts w:asciiTheme="minorHAnsi" w:hAnsiTheme="minorHAnsi" w:cs="Times New Roman"/>
          <w:sz w:val="18"/>
          <w:szCs w:val="18"/>
        </w:rPr>
        <w:t>pollinated crop in 2005 or 2010. PSC = Pollination service capacity, the capacity of honey bee stocks to supply pollination services under lower (L), average (A) and upper (U) recommended stocking rate assumptions. OFR = ratio of oilseeds to fruits within insect pollinated crop area</w:t>
      </w:r>
    </w:p>
    <w:p w:rsidR="00DD0E64" w:rsidRPr="00B61E0B" w:rsidRDefault="00DD0E64" w:rsidP="00DD0E64">
      <w:pPr>
        <w:rPr>
          <w:rFonts w:asciiTheme="minorHAnsi" w:hAnsiTheme="minorHAnsi" w:cs="Times New Roman"/>
          <w:b/>
        </w:rPr>
      </w:pPr>
      <w:r>
        <w:rPr>
          <w:rFonts w:asciiTheme="minorHAnsi" w:hAnsiTheme="minorHAnsi" w:cs="Times New Roman"/>
          <w:b/>
        </w:rPr>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 xml:space="preserve">.9 – </w:t>
      </w:r>
      <w:r w:rsidRPr="00B61E0B">
        <w:rPr>
          <w:rFonts w:asciiTheme="minorHAnsi" w:hAnsiTheme="minorHAnsi" w:cs="Times New Roman"/>
        </w:rPr>
        <w:t>Results of categorical regression analysis of the significance in variation between countries in different regions of Europe</w:t>
      </w:r>
      <w:r w:rsidRPr="00B61E0B">
        <w:rPr>
          <w:rFonts w:asciiTheme="minorHAnsi" w:hAnsiTheme="minorHAnsi" w:cs="Times New Roman"/>
          <w:b/>
        </w:rPr>
        <w:t xml:space="preserve"> </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1577"/>
        <w:gridCol w:w="1216"/>
        <w:gridCol w:w="1079"/>
        <w:gridCol w:w="1216"/>
        <w:gridCol w:w="1009"/>
      </w:tblGrid>
      <w:tr w:rsidR="00DD0E64" w:rsidRPr="00B61E0B" w:rsidTr="00C85987">
        <w:tc>
          <w:tcPr>
            <w:tcW w:w="1577"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Variables</w:t>
            </w:r>
          </w:p>
        </w:tc>
        <w:tc>
          <w:tcPr>
            <w:tcW w:w="121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Α</w:t>
            </w:r>
          </w:p>
        </w:tc>
        <w:tc>
          <w:tcPr>
            <w:tcW w:w="1079"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North</w:t>
            </w:r>
          </w:p>
        </w:tc>
        <w:tc>
          <w:tcPr>
            <w:tcW w:w="121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South</w:t>
            </w:r>
          </w:p>
        </w:tc>
        <w:tc>
          <w:tcPr>
            <w:tcW w:w="1009"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West</w:t>
            </w:r>
          </w:p>
        </w:tc>
      </w:tr>
      <w:tr w:rsidR="00DD0E64" w:rsidRPr="00B61E0B" w:rsidTr="00C85987">
        <w:tc>
          <w:tcPr>
            <w:tcW w:w="1577"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2005</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0.8367</w:t>
            </w:r>
          </w:p>
        </w:tc>
        <w:tc>
          <w:tcPr>
            <w:tcW w:w="107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0.5700</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1.9827</w:t>
            </w:r>
            <w:r w:rsidRPr="00B61E0B">
              <w:rPr>
                <w:rFonts w:asciiTheme="minorHAnsi" w:hAnsiTheme="minorHAnsi" w:cs="Times New Roman"/>
                <w:sz w:val="18"/>
                <w:vertAlign w:val="superscript"/>
              </w:rPr>
              <w:t>*</w:t>
            </w:r>
          </w:p>
        </w:tc>
        <w:tc>
          <w:tcPr>
            <w:tcW w:w="100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0.8876</w:t>
            </w:r>
          </w:p>
        </w:tc>
      </w:tr>
      <w:tr w:rsidR="00DD0E64" w:rsidRPr="00B61E0B" w:rsidTr="00C85987">
        <w:tc>
          <w:tcPr>
            <w:tcW w:w="1577"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SD 2010</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0.6744</w:t>
            </w:r>
          </w:p>
        </w:tc>
        <w:tc>
          <w:tcPr>
            <w:tcW w:w="107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0.5933</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2.6756</w:t>
            </w:r>
            <w:r w:rsidRPr="00B61E0B">
              <w:rPr>
                <w:rFonts w:asciiTheme="minorHAnsi" w:hAnsiTheme="minorHAnsi" w:cs="Times New Roman"/>
                <w:sz w:val="18"/>
                <w:vertAlign w:val="superscript"/>
              </w:rPr>
              <w:t>***</w:t>
            </w:r>
          </w:p>
        </w:tc>
        <w:tc>
          <w:tcPr>
            <w:tcW w:w="100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0.8441</w:t>
            </w:r>
          </w:p>
        </w:tc>
      </w:tr>
      <w:tr w:rsidR="00DD0E64" w:rsidRPr="00B61E0B" w:rsidTr="00C85987">
        <w:trPr>
          <w:trHeight w:val="80"/>
        </w:trPr>
        <w:tc>
          <w:tcPr>
            <w:tcW w:w="1577"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DDL 2005</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-0.5931</w:t>
            </w:r>
            <w:r w:rsidRPr="00B61E0B">
              <w:rPr>
                <w:rFonts w:asciiTheme="minorHAnsi" w:hAnsiTheme="minorHAnsi" w:cs="Times New Roman"/>
                <w:sz w:val="18"/>
                <w:vertAlign w:val="superscript"/>
              </w:rPr>
              <w:t>***</w:t>
            </w:r>
          </w:p>
        </w:tc>
        <w:tc>
          <w:tcPr>
            <w:tcW w:w="107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0.1223</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0.0864</w:t>
            </w:r>
          </w:p>
        </w:tc>
        <w:tc>
          <w:tcPr>
            <w:tcW w:w="100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-0.0089</w:t>
            </w:r>
          </w:p>
        </w:tc>
      </w:tr>
      <w:tr w:rsidR="00DD0E64" w:rsidRPr="00B61E0B" w:rsidTr="00C85987">
        <w:tc>
          <w:tcPr>
            <w:tcW w:w="1577"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DDL 2010</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-0.6054</w:t>
            </w:r>
            <w:r w:rsidRPr="00B61E0B">
              <w:rPr>
                <w:rFonts w:asciiTheme="minorHAnsi" w:hAnsiTheme="minorHAnsi" w:cs="Times New Roman"/>
                <w:sz w:val="18"/>
                <w:vertAlign w:val="superscript"/>
              </w:rPr>
              <w:t>***</w:t>
            </w:r>
          </w:p>
        </w:tc>
        <w:tc>
          <w:tcPr>
            <w:tcW w:w="107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0.0749</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0.1186</w:t>
            </w:r>
            <w:r w:rsidRPr="00B61E0B">
              <w:rPr>
                <w:rFonts w:asciiTheme="minorHAnsi" w:hAnsiTheme="minorHAnsi" w:cs="Times New Roman"/>
                <w:sz w:val="18"/>
                <w:vertAlign w:val="superscript"/>
              </w:rPr>
              <w:t>+</w:t>
            </w:r>
          </w:p>
        </w:tc>
        <w:tc>
          <w:tcPr>
            <w:tcW w:w="100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-0.0229</w:t>
            </w:r>
          </w:p>
        </w:tc>
      </w:tr>
      <w:tr w:rsidR="00DD0E64" w:rsidRPr="00B61E0B" w:rsidTr="00C85987">
        <w:tc>
          <w:tcPr>
            <w:tcW w:w="1577"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DDA 2005</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0.2741</w:t>
            </w:r>
            <w:r w:rsidRPr="00B61E0B">
              <w:rPr>
                <w:rFonts w:asciiTheme="minorHAnsi" w:hAnsiTheme="minorHAnsi" w:cs="Times New Roman"/>
                <w:sz w:val="18"/>
                <w:vertAlign w:val="superscript"/>
              </w:rPr>
              <w:t>***</w:t>
            </w:r>
          </w:p>
        </w:tc>
        <w:tc>
          <w:tcPr>
            <w:tcW w:w="107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0.2347</w:t>
            </w:r>
            <w:r w:rsidRPr="00B61E0B">
              <w:rPr>
                <w:rFonts w:asciiTheme="minorHAnsi" w:hAnsiTheme="minorHAnsi" w:cs="Times New Roman"/>
                <w:sz w:val="18"/>
                <w:vertAlign w:val="superscript"/>
              </w:rPr>
              <w:t>**</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0.2586</w:t>
            </w:r>
            <w:r w:rsidRPr="00B61E0B">
              <w:rPr>
                <w:rFonts w:asciiTheme="minorHAnsi" w:hAnsiTheme="minorHAnsi" w:cs="Times New Roman"/>
                <w:sz w:val="18"/>
                <w:vertAlign w:val="superscript"/>
              </w:rPr>
              <w:t>***</w:t>
            </w:r>
          </w:p>
        </w:tc>
        <w:tc>
          <w:tcPr>
            <w:tcW w:w="100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0.1684</w:t>
            </w:r>
            <w:r w:rsidRPr="00B61E0B">
              <w:rPr>
                <w:rFonts w:asciiTheme="minorHAnsi" w:hAnsiTheme="minorHAnsi" w:cs="Times New Roman"/>
                <w:sz w:val="18"/>
                <w:vertAlign w:val="superscript"/>
              </w:rPr>
              <w:t>*</w:t>
            </w:r>
          </w:p>
        </w:tc>
      </w:tr>
      <w:tr w:rsidR="00DD0E64" w:rsidRPr="00B61E0B" w:rsidTr="00C85987">
        <w:trPr>
          <w:trHeight w:val="80"/>
        </w:trPr>
        <w:tc>
          <w:tcPr>
            <w:tcW w:w="1577"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DDA 2010</w:t>
            </w:r>
          </w:p>
        </w:tc>
        <w:tc>
          <w:tcPr>
            <w:tcW w:w="1216"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0.2821</w:t>
            </w:r>
            <w:r w:rsidRPr="00B61E0B">
              <w:rPr>
                <w:rFonts w:asciiTheme="minorHAnsi" w:hAnsiTheme="minorHAnsi" w:cs="Times New Roman"/>
                <w:sz w:val="18"/>
                <w:vertAlign w:val="superscript"/>
              </w:rPr>
              <w:t>***</w:t>
            </w:r>
          </w:p>
        </w:tc>
        <w:tc>
          <w:tcPr>
            <w:tcW w:w="1079"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0.1862</w:t>
            </w:r>
            <w:r w:rsidRPr="00B61E0B">
              <w:rPr>
                <w:rFonts w:asciiTheme="minorHAnsi" w:hAnsiTheme="minorHAnsi" w:cs="Times New Roman"/>
                <w:sz w:val="18"/>
                <w:vertAlign w:val="superscript"/>
              </w:rPr>
              <w:t>**</w:t>
            </w:r>
          </w:p>
        </w:tc>
        <w:tc>
          <w:tcPr>
            <w:tcW w:w="1216"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0.2357</w:t>
            </w:r>
            <w:r w:rsidRPr="00B61E0B">
              <w:rPr>
                <w:rFonts w:asciiTheme="minorHAnsi" w:hAnsiTheme="minorHAnsi" w:cs="Times New Roman"/>
                <w:sz w:val="18"/>
                <w:vertAlign w:val="superscript"/>
              </w:rPr>
              <w:t>***</w:t>
            </w:r>
          </w:p>
        </w:tc>
        <w:tc>
          <w:tcPr>
            <w:tcW w:w="1009" w:type="dxa"/>
            <w:tcBorders>
              <w:top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0.1501</w:t>
            </w:r>
            <w:r w:rsidRPr="00B61E0B">
              <w:rPr>
                <w:rFonts w:asciiTheme="minorHAnsi" w:hAnsiTheme="minorHAnsi" w:cs="Times New Roman"/>
                <w:sz w:val="18"/>
                <w:vertAlign w:val="superscript"/>
              </w:rPr>
              <w:t>*</w:t>
            </w:r>
          </w:p>
        </w:tc>
      </w:tr>
      <w:tr w:rsidR="00DD0E64" w:rsidRPr="00B61E0B" w:rsidTr="00C85987">
        <w:tc>
          <w:tcPr>
            <w:tcW w:w="1577"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DDU 2005</w:t>
            </w:r>
          </w:p>
        </w:tc>
        <w:tc>
          <w:tcPr>
            <w:tcW w:w="1216"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0.9417</w:t>
            </w:r>
            <w:r w:rsidRPr="00B61E0B">
              <w:rPr>
                <w:rFonts w:asciiTheme="minorHAnsi" w:hAnsiTheme="minorHAnsi" w:cs="Times New Roman"/>
                <w:sz w:val="18"/>
                <w:vertAlign w:val="superscript"/>
              </w:rPr>
              <w:t>***</w:t>
            </w:r>
          </w:p>
        </w:tc>
        <w:tc>
          <w:tcPr>
            <w:tcW w:w="1079"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0.1962</w:t>
            </w:r>
            <w:r w:rsidRPr="00B61E0B">
              <w:rPr>
                <w:rFonts w:asciiTheme="minorHAnsi" w:hAnsiTheme="minorHAnsi" w:cs="Times New Roman"/>
                <w:sz w:val="18"/>
                <w:vertAlign w:val="superscript"/>
              </w:rPr>
              <w:t>+</w:t>
            </w:r>
          </w:p>
        </w:tc>
        <w:tc>
          <w:tcPr>
            <w:tcW w:w="1216"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0.2468</w:t>
            </w:r>
            <w:r w:rsidRPr="00B61E0B">
              <w:rPr>
                <w:rFonts w:asciiTheme="minorHAnsi" w:hAnsiTheme="minorHAnsi" w:cs="Times New Roman"/>
                <w:sz w:val="18"/>
                <w:vertAlign w:val="superscript"/>
              </w:rPr>
              <w:t>**</w:t>
            </w:r>
          </w:p>
        </w:tc>
        <w:tc>
          <w:tcPr>
            <w:tcW w:w="1009" w:type="dxa"/>
            <w:tcBorders>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0.1955</w:t>
            </w:r>
            <w:r w:rsidRPr="00B61E0B">
              <w:rPr>
                <w:rFonts w:asciiTheme="minorHAnsi" w:hAnsiTheme="minorHAnsi" w:cs="Times New Roman"/>
                <w:sz w:val="18"/>
                <w:vertAlign w:val="superscript"/>
              </w:rPr>
              <w:t>+</w:t>
            </w:r>
          </w:p>
        </w:tc>
      </w:tr>
      <w:tr w:rsidR="00DD0E64" w:rsidRPr="00B61E0B" w:rsidTr="00C85987">
        <w:tc>
          <w:tcPr>
            <w:tcW w:w="1577"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Log DDU 2010</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0.9134</w:t>
            </w:r>
            <w:r w:rsidRPr="00B61E0B">
              <w:rPr>
                <w:rFonts w:asciiTheme="minorHAnsi" w:hAnsiTheme="minorHAnsi" w:cs="Times New Roman"/>
                <w:sz w:val="18"/>
                <w:vertAlign w:val="superscript"/>
              </w:rPr>
              <w:t>***</w:t>
            </w:r>
          </w:p>
        </w:tc>
        <w:tc>
          <w:tcPr>
            <w:tcW w:w="107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0.1495</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0.2491</w:t>
            </w:r>
            <w:r w:rsidRPr="00B61E0B">
              <w:rPr>
                <w:rFonts w:asciiTheme="minorHAnsi" w:hAnsiTheme="minorHAnsi" w:cs="Times New Roman"/>
                <w:sz w:val="18"/>
                <w:vertAlign w:val="superscript"/>
              </w:rPr>
              <w:t>**</w:t>
            </w:r>
          </w:p>
        </w:tc>
        <w:tc>
          <w:tcPr>
            <w:tcW w:w="100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0.2082</w:t>
            </w:r>
            <w:r w:rsidRPr="00B61E0B">
              <w:rPr>
                <w:rFonts w:asciiTheme="minorHAnsi" w:hAnsiTheme="minorHAnsi" w:cs="Times New Roman"/>
                <w:sz w:val="18"/>
                <w:vertAlign w:val="superscript"/>
              </w:rPr>
              <w:t>+</w:t>
            </w:r>
          </w:p>
        </w:tc>
      </w:tr>
      <w:tr w:rsidR="00DD0E64" w:rsidRPr="00B61E0B" w:rsidTr="00C85987">
        <w:trPr>
          <w:trHeight w:val="80"/>
        </w:trPr>
        <w:tc>
          <w:tcPr>
            <w:tcW w:w="1577"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PSCL 2005</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1.5189</w:t>
            </w:r>
          </w:p>
        </w:tc>
        <w:tc>
          <w:tcPr>
            <w:tcW w:w="107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0.7878</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3.7624</w:t>
            </w:r>
            <w:r w:rsidRPr="00B61E0B">
              <w:rPr>
                <w:rFonts w:asciiTheme="minorHAnsi" w:hAnsiTheme="minorHAnsi" w:cs="Times New Roman"/>
                <w:sz w:val="18"/>
                <w:vertAlign w:val="superscript"/>
              </w:rPr>
              <w:t>+</w:t>
            </w:r>
          </w:p>
        </w:tc>
        <w:tc>
          <w:tcPr>
            <w:tcW w:w="100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1.6254</w:t>
            </w:r>
          </w:p>
        </w:tc>
      </w:tr>
      <w:tr w:rsidR="00DD0E64" w:rsidRPr="00B61E0B" w:rsidTr="00C85987">
        <w:tc>
          <w:tcPr>
            <w:tcW w:w="1577"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PSCL 2010</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1.2467</w:t>
            </w:r>
          </w:p>
        </w:tc>
        <w:tc>
          <w:tcPr>
            <w:tcW w:w="107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0.9378</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3.3127</w:t>
            </w:r>
            <w:r w:rsidRPr="00B61E0B">
              <w:rPr>
                <w:rFonts w:asciiTheme="minorHAnsi" w:hAnsiTheme="minorHAnsi" w:cs="Times New Roman"/>
                <w:sz w:val="18"/>
                <w:vertAlign w:val="superscript"/>
              </w:rPr>
              <w:t>**</w:t>
            </w:r>
          </w:p>
        </w:tc>
        <w:tc>
          <w:tcPr>
            <w:tcW w:w="100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1.5219</w:t>
            </w:r>
          </w:p>
        </w:tc>
      </w:tr>
      <w:tr w:rsidR="00DD0E64" w:rsidRPr="00B61E0B" w:rsidTr="00C85987">
        <w:tc>
          <w:tcPr>
            <w:tcW w:w="1577"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PSCA 2005</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0.6389</w:t>
            </w:r>
          </w:p>
        </w:tc>
        <w:tc>
          <w:tcPr>
            <w:tcW w:w="107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0.1578</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0.9630</w:t>
            </w:r>
            <w:r w:rsidRPr="00B61E0B">
              <w:rPr>
                <w:rFonts w:asciiTheme="minorHAnsi" w:hAnsiTheme="minorHAnsi" w:cs="Times New Roman"/>
                <w:sz w:val="18"/>
                <w:vertAlign w:val="superscript"/>
              </w:rPr>
              <w:t>+</w:t>
            </w:r>
          </w:p>
        </w:tc>
        <w:tc>
          <w:tcPr>
            <w:tcW w:w="1009"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0.4225</w:t>
            </w:r>
          </w:p>
        </w:tc>
      </w:tr>
      <w:tr w:rsidR="00DD0E64" w:rsidRPr="00B61E0B" w:rsidTr="00C85987">
        <w:tc>
          <w:tcPr>
            <w:tcW w:w="1577"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PSCA 2010</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0.5067</w:t>
            </w:r>
          </w:p>
        </w:tc>
        <w:tc>
          <w:tcPr>
            <w:tcW w:w="107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0.2167</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1.4727</w:t>
            </w:r>
            <w:r w:rsidRPr="00B61E0B">
              <w:rPr>
                <w:rFonts w:asciiTheme="minorHAnsi" w:hAnsiTheme="minorHAnsi" w:cs="Times New Roman"/>
                <w:sz w:val="18"/>
                <w:vertAlign w:val="superscript"/>
              </w:rPr>
              <w:t>**</w:t>
            </w:r>
          </w:p>
        </w:tc>
        <w:tc>
          <w:tcPr>
            <w:tcW w:w="100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0.4148</w:t>
            </w:r>
          </w:p>
        </w:tc>
      </w:tr>
      <w:tr w:rsidR="00DD0E64" w:rsidRPr="00B61E0B" w:rsidTr="00C85987">
        <w:tc>
          <w:tcPr>
            <w:tcW w:w="1577"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PSCU 2005</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0.3356</w:t>
            </w:r>
            <w:r w:rsidRPr="00B61E0B">
              <w:rPr>
                <w:rFonts w:asciiTheme="minorHAnsi" w:hAnsiTheme="minorHAnsi" w:cs="Times New Roman"/>
                <w:sz w:val="18"/>
                <w:vertAlign w:val="superscript"/>
              </w:rPr>
              <w:t>+</w:t>
            </w:r>
          </w:p>
        </w:tc>
        <w:tc>
          <w:tcPr>
            <w:tcW w:w="107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0.0678</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0.4726</w:t>
            </w:r>
            <w:r w:rsidRPr="00B61E0B">
              <w:rPr>
                <w:rFonts w:asciiTheme="minorHAnsi" w:hAnsiTheme="minorHAnsi" w:cs="Times New Roman"/>
                <w:sz w:val="18"/>
                <w:vertAlign w:val="superscript"/>
              </w:rPr>
              <w:t>*</w:t>
            </w:r>
          </w:p>
        </w:tc>
        <w:tc>
          <w:tcPr>
            <w:tcW w:w="100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0.1787</w:t>
            </w:r>
          </w:p>
        </w:tc>
      </w:tr>
      <w:tr w:rsidR="00DD0E64" w:rsidRPr="00B61E0B" w:rsidTr="00C85987">
        <w:tc>
          <w:tcPr>
            <w:tcW w:w="1577"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PSCU 2010</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0.2744</w:t>
            </w:r>
            <w:r w:rsidRPr="00B61E0B">
              <w:rPr>
                <w:rFonts w:asciiTheme="minorHAnsi" w:hAnsiTheme="minorHAnsi" w:cs="Times New Roman"/>
                <w:sz w:val="18"/>
                <w:vertAlign w:val="superscript"/>
              </w:rPr>
              <w:t>+</w:t>
            </w:r>
          </w:p>
        </w:tc>
        <w:tc>
          <w:tcPr>
            <w:tcW w:w="107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0.0878</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0.7512</w:t>
            </w:r>
            <w:r w:rsidRPr="00B61E0B">
              <w:rPr>
                <w:rFonts w:asciiTheme="minorHAnsi" w:hAnsiTheme="minorHAnsi" w:cs="Times New Roman"/>
                <w:sz w:val="18"/>
                <w:vertAlign w:val="superscript"/>
              </w:rPr>
              <w:t>***</w:t>
            </w:r>
          </w:p>
        </w:tc>
        <w:tc>
          <w:tcPr>
            <w:tcW w:w="100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0.1741</w:t>
            </w:r>
          </w:p>
        </w:tc>
      </w:tr>
      <w:tr w:rsidR="00DD0E64" w:rsidRPr="00B61E0B" w:rsidTr="00C85987">
        <w:tc>
          <w:tcPr>
            <w:tcW w:w="1577"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OFR 2005</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10.507</w:t>
            </w:r>
            <w:r w:rsidRPr="00B61E0B">
              <w:rPr>
                <w:rFonts w:asciiTheme="minorHAnsi" w:hAnsiTheme="minorHAnsi" w:cs="Times New Roman"/>
                <w:sz w:val="18"/>
                <w:vertAlign w:val="superscript"/>
              </w:rPr>
              <w:t>***</w:t>
            </w:r>
          </w:p>
        </w:tc>
        <w:tc>
          <w:tcPr>
            <w:tcW w:w="107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-1.498</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-9.922</w:t>
            </w:r>
            <w:r w:rsidRPr="00B61E0B">
              <w:rPr>
                <w:rFonts w:asciiTheme="minorHAnsi" w:hAnsiTheme="minorHAnsi" w:cs="Times New Roman"/>
                <w:sz w:val="18"/>
                <w:vertAlign w:val="superscript"/>
              </w:rPr>
              <w:t>***</w:t>
            </w:r>
          </w:p>
        </w:tc>
        <w:tc>
          <w:tcPr>
            <w:tcW w:w="100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-4.457</w:t>
            </w:r>
          </w:p>
        </w:tc>
      </w:tr>
      <w:tr w:rsidR="00DD0E64" w:rsidRPr="00B61E0B" w:rsidTr="00C85987">
        <w:tc>
          <w:tcPr>
            <w:tcW w:w="1577"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OFR 2010</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14.244</w:t>
            </w:r>
            <w:r w:rsidRPr="00B61E0B">
              <w:rPr>
                <w:rFonts w:asciiTheme="minorHAnsi" w:hAnsiTheme="minorHAnsi" w:cs="Times New Roman"/>
                <w:sz w:val="18"/>
                <w:vertAlign w:val="superscript"/>
              </w:rPr>
              <w:t>***</w:t>
            </w:r>
          </w:p>
        </w:tc>
        <w:tc>
          <w:tcPr>
            <w:tcW w:w="107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1.541</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-13.738</w:t>
            </w:r>
            <w:r w:rsidRPr="00B61E0B">
              <w:rPr>
                <w:rFonts w:asciiTheme="minorHAnsi" w:hAnsiTheme="minorHAnsi" w:cs="Times New Roman"/>
                <w:sz w:val="18"/>
                <w:vertAlign w:val="superscript"/>
              </w:rPr>
              <w:t>***</w:t>
            </w:r>
          </w:p>
        </w:tc>
        <w:tc>
          <w:tcPr>
            <w:tcW w:w="1009"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-5.297</w:t>
            </w:r>
          </w:p>
        </w:tc>
      </w:tr>
    </w:tbl>
    <w:p w:rsidR="00DD0E64" w:rsidRPr="00B61E0B" w:rsidRDefault="00DD0E64" w:rsidP="00DD0E64">
      <w:pPr>
        <w:rPr>
          <w:rFonts w:asciiTheme="minorHAnsi" w:hAnsiTheme="minorHAnsi" w:cs="Times New Roman"/>
          <w:sz w:val="18"/>
          <w:szCs w:val="18"/>
        </w:rPr>
      </w:pPr>
      <w:r w:rsidRPr="00B61E0B">
        <w:rPr>
          <w:rFonts w:asciiTheme="minorHAnsi" w:hAnsiTheme="minorHAnsi" w:cs="Times New Roman"/>
          <w:sz w:val="18"/>
          <w:szCs w:val="18"/>
        </w:rPr>
        <w:t>Variables = Variable assessed, α = regression intercept coefficient, EU-15 = slope coefficient for the 15 pre-2004 members of the European Union, EU-12 = slope coefficient for members of the EU joining in or after 2004. Significance: ***</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P&lt;0.0001,</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P&lt;0.01, *</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P&lt;0.05 + = P&lt;0.1. SD = Supply Density, the number of colonies available per hectare of insect</w:t>
      </w:r>
      <w:r w:rsidRPr="00B61E0B">
        <w:rPr>
          <w:rFonts w:asciiTheme="minorHAnsi" w:hAnsiTheme="minorHAnsi" w:cs="Times New Roman"/>
          <w:sz w:val="18"/>
        </w:rPr>
        <w:t>-</w:t>
      </w:r>
      <w:r w:rsidRPr="00B61E0B">
        <w:rPr>
          <w:rFonts w:asciiTheme="minorHAnsi" w:hAnsiTheme="minorHAnsi" w:cs="Times New Roman"/>
          <w:sz w:val="18"/>
          <w:szCs w:val="18"/>
        </w:rPr>
        <w:t xml:space="preserve">pollinated crop in 2005 or 2010. PSC = Pollination service capacity, the capacity of honeybee stocks to supply pollination </w:t>
      </w:r>
      <w:r w:rsidRPr="00B61E0B">
        <w:rPr>
          <w:rFonts w:asciiTheme="minorHAnsi" w:hAnsiTheme="minorHAnsi" w:cs="Times New Roman"/>
          <w:sz w:val="18"/>
          <w:szCs w:val="18"/>
        </w:rPr>
        <w:lastRenderedPageBreak/>
        <w:t>services under lower (L), average (A) and upper (U) recommended stocking rate assumptions. OFR = ratio of oilseeds to fruits within insect pollinated crop area</w:t>
      </w:r>
    </w:p>
    <w:p w:rsidR="00DD0E64" w:rsidRPr="00B61E0B" w:rsidRDefault="00DD0E64" w:rsidP="00DD0E64">
      <w:pPr>
        <w:rPr>
          <w:rFonts w:asciiTheme="minorHAnsi" w:hAnsiTheme="minorHAnsi" w:cs="Times New Roman"/>
          <w:b/>
        </w:rPr>
      </w:pPr>
      <w:r>
        <w:rPr>
          <w:rFonts w:asciiTheme="minorHAnsi" w:hAnsiTheme="minorHAnsi" w:cs="Times New Roman"/>
          <w:b/>
        </w:rPr>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 xml:space="preserve">.10 – </w:t>
      </w:r>
      <w:r w:rsidRPr="00B61E0B">
        <w:rPr>
          <w:rFonts w:asciiTheme="minorHAnsi" w:hAnsiTheme="minorHAnsi" w:cs="Times New Roman"/>
        </w:rPr>
        <w:t>Results of categorical regression analysis of the significance in variation between EU and non-EU member states</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1705"/>
        <w:gridCol w:w="1216"/>
        <w:gridCol w:w="1076"/>
        <w:gridCol w:w="1076"/>
      </w:tblGrid>
      <w:tr w:rsidR="00DD0E64" w:rsidRPr="00B61E0B" w:rsidTr="00C85987">
        <w:tc>
          <w:tcPr>
            <w:tcW w:w="1705"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Variables</w:t>
            </w:r>
          </w:p>
        </w:tc>
        <w:tc>
          <w:tcPr>
            <w:tcW w:w="121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α</w:t>
            </w:r>
          </w:p>
        </w:tc>
        <w:tc>
          <w:tcPr>
            <w:tcW w:w="107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EU-12</w:t>
            </w:r>
          </w:p>
        </w:tc>
        <w:tc>
          <w:tcPr>
            <w:tcW w:w="107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EU-15</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Δ Area</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0.0520</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0.2090</w:t>
            </w:r>
            <w:r w:rsidRPr="00B61E0B">
              <w:rPr>
                <w:rFonts w:asciiTheme="minorHAnsi" w:hAnsiTheme="minorHAnsi" w:cs="Times New Roman"/>
                <w:sz w:val="18"/>
                <w:szCs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0.1489</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Δ</w:t>
            </w:r>
            <w:r>
              <w:rPr>
                <w:rFonts w:asciiTheme="minorHAnsi" w:hAnsiTheme="minorHAnsi" w:cs="Times New Roman"/>
                <w:sz w:val="18"/>
                <w:szCs w:val="18"/>
              </w:rPr>
              <w:t xml:space="preserve"> HB</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2F47A6">
              <w:rPr>
                <w:rFonts w:asciiTheme="minorHAnsi" w:hAnsiTheme="minorHAnsi" w:cs="Times New Roman"/>
                <w:sz w:val="18"/>
                <w:szCs w:val="18"/>
              </w:rPr>
              <w:t>0.2436</w:t>
            </w:r>
            <w:r w:rsidRPr="002F47A6">
              <w:rPr>
                <w:rFonts w:asciiTheme="minorHAnsi" w:hAnsiTheme="minorHAnsi" w:cs="Times New Roman"/>
                <w:sz w:val="18"/>
                <w:szCs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2F47A6">
              <w:rPr>
                <w:rFonts w:asciiTheme="minorHAnsi" w:hAnsiTheme="minorHAnsi" w:cs="Times New Roman"/>
                <w:sz w:val="18"/>
                <w:szCs w:val="18"/>
              </w:rPr>
              <w:t>-0.1526</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2F47A6">
              <w:rPr>
                <w:rFonts w:asciiTheme="minorHAnsi" w:hAnsiTheme="minorHAnsi" w:cs="Times New Roman"/>
                <w:sz w:val="18"/>
                <w:szCs w:val="18"/>
              </w:rPr>
              <w:t>-0.1535</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Δ SD</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0.4236</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-0.4494</w:t>
            </w:r>
            <w:r w:rsidRPr="00B61E0B">
              <w:rPr>
                <w:rFonts w:asciiTheme="minorHAnsi" w:hAnsiTheme="minorHAnsi" w:cs="Times New Roman"/>
                <w:sz w:val="18"/>
                <w:szCs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-0.4709</w:t>
            </w:r>
          </w:p>
        </w:tc>
      </w:tr>
      <w:tr w:rsidR="00DD0E64" w:rsidRPr="00B61E0B" w:rsidTr="00C85987">
        <w:trPr>
          <w:trHeight w:val="80"/>
        </w:trPr>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Δ PSCL</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0.3821</w:t>
            </w:r>
            <w:r w:rsidRPr="00B61E0B">
              <w:rPr>
                <w:rFonts w:asciiTheme="minorHAnsi" w:hAnsiTheme="minorHAnsi" w:cs="Times New Roman"/>
                <w:sz w:val="18"/>
                <w:szCs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-0.3921</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-0.4081</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Δ PSCA</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0.4136</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-0.4394</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-0.4316</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Δ PSCU</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0.4607</w:t>
            </w:r>
            <w:r w:rsidRPr="00B61E0B">
              <w:rPr>
                <w:rFonts w:asciiTheme="minorHAnsi" w:hAnsiTheme="minorHAnsi" w:cs="Times New Roman"/>
                <w:sz w:val="18"/>
                <w:szCs w:val="18"/>
                <w:vertAlign w:val="superscript"/>
              </w:rPr>
              <w:t>*</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-0.4499</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-0.4640</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Δ OOR</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0.1062</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 xml:space="preserve">0.8323 </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1.5749</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Δ BF</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Pr>
                <w:rFonts w:asciiTheme="minorHAnsi" w:hAnsiTheme="minorHAnsi" w:cs="Times New Roman"/>
                <w:sz w:val="18"/>
                <w:szCs w:val="18"/>
              </w:rPr>
              <w:t>0.0535</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rPr>
            </w:pPr>
            <w:r w:rsidRPr="00B61E0B">
              <w:rPr>
                <w:rFonts w:asciiTheme="minorHAnsi" w:hAnsiTheme="minorHAnsi" w:cs="Times New Roman"/>
                <w:sz w:val="18"/>
                <w:szCs w:val="18"/>
              </w:rPr>
              <w:t>0.48</w:t>
            </w:r>
            <w:r>
              <w:rPr>
                <w:rFonts w:asciiTheme="minorHAnsi" w:hAnsiTheme="minorHAnsi" w:cs="Times New Roman"/>
                <w:sz w:val="18"/>
                <w:szCs w:val="18"/>
              </w:rPr>
              <w:t>74*</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0.</w:t>
            </w:r>
            <w:r>
              <w:rPr>
                <w:rFonts w:asciiTheme="minorHAnsi" w:hAnsiTheme="minorHAnsi" w:cs="Times New Roman"/>
                <w:sz w:val="18"/>
                <w:szCs w:val="18"/>
              </w:rPr>
              <w:t>3779</w:t>
            </w:r>
            <w:r w:rsidRPr="00B61E0B">
              <w:rPr>
                <w:rFonts w:asciiTheme="minorHAnsi" w:hAnsiTheme="minorHAnsi" w:cs="Times New Roman"/>
                <w:sz w:val="18"/>
                <w:szCs w:val="18"/>
                <w:vertAlign w:val="superscript"/>
              </w:rPr>
              <w:t>+</w:t>
            </w:r>
          </w:p>
        </w:tc>
      </w:tr>
    </w:tbl>
    <w:p w:rsidR="00DD0E64" w:rsidRPr="00B61E0B" w:rsidRDefault="00DD0E64" w:rsidP="00DD0E64">
      <w:pPr>
        <w:rPr>
          <w:rFonts w:asciiTheme="minorHAnsi" w:hAnsiTheme="minorHAnsi" w:cs="Times New Roman"/>
          <w:sz w:val="18"/>
          <w:szCs w:val="18"/>
        </w:rPr>
      </w:pPr>
      <w:r w:rsidRPr="00B61E0B">
        <w:rPr>
          <w:rFonts w:asciiTheme="minorHAnsi" w:hAnsiTheme="minorHAnsi" w:cs="Times New Roman"/>
          <w:sz w:val="18"/>
          <w:szCs w:val="18"/>
        </w:rPr>
        <w:t>Variables = Variable assessed, α = regression intercept coefficient, EU-15 = slope coefficient for the 15 pre-2004 members of the European Union, EU-12 = slope coefficient for members of the EU joining in or after 2004. Significance: ***</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P&lt;0.0001,</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P&lt;0.01, *</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xml:space="preserve">= P&lt;0.05 + = P&lt;0.1. </w:t>
      </w:r>
      <w:r w:rsidRPr="00B61E0B">
        <w:rPr>
          <w:rFonts w:asciiTheme="minorHAnsi" w:hAnsiTheme="minorHAnsi" w:cs="Times New Roman"/>
          <w:sz w:val="18"/>
        </w:rPr>
        <w:t xml:space="preserve">Δ Area = % change in the total area of insect-pollinated crops between 2005 and 2010. Δ Area </w:t>
      </w:r>
      <w:r>
        <w:rPr>
          <w:rFonts w:asciiTheme="minorHAnsi" w:hAnsiTheme="minorHAnsi" w:cs="Times New Roman"/>
          <w:sz w:val="18"/>
        </w:rPr>
        <w:t xml:space="preserve">= % change in national honeybee stocks. </w:t>
      </w:r>
      <w:r w:rsidRPr="00B61E0B">
        <w:rPr>
          <w:rFonts w:asciiTheme="minorHAnsi" w:hAnsiTheme="minorHAnsi" w:cs="Times New Roman"/>
          <w:sz w:val="18"/>
        </w:rPr>
        <w:t xml:space="preserve">Δ DD = % change in Density of Demand, (the mean number of hives required per hectare of insect pollinated crop, weighted by the area of each crop and divided by two to represent the potential for hive movement within a year) at lower (L), average (A) and upper (U) recommended stocking rate assumptions between 2005 and 2010. Δ SD = Supply Density, the number of colonies available per hectare of insect-pollinated crop between 2005 and 2010. Δ PSC = % change in Pollination service capacity, the capacity of honeybee stocks to supply pollination services under lower (L), average (A) and upper (U) recommended stocking rate assumptions. Δ OFR = % change in the ratio of oilseeds to orchard fruits within insect-pollinated crop area between 2005 and 2010. Δ BF = % change in the total area of biofuel crops, oilseed rape, sunflower and soybean between 2005 and 2010. </w:t>
      </w:r>
    </w:p>
    <w:p w:rsidR="00DD0E64" w:rsidRPr="00B61E0B" w:rsidRDefault="00DD0E64" w:rsidP="00DD0E64">
      <w:pPr>
        <w:rPr>
          <w:rFonts w:asciiTheme="minorHAnsi" w:hAnsiTheme="minorHAnsi" w:cs="Times New Roman"/>
          <w:b/>
        </w:rPr>
      </w:pPr>
      <w:r>
        <w:rPr>
          <w:rFonts w:asciiTheme="minorHAnsi" w:hAnsiTheme="minorHAnsi" w:cs="Times New Roman"/>
          <w:b/>
        </w:rPr>
        <w:t xml:space="preserve">Table </w:t>
      </w:r>
      <w:r w:rsidR="006E1BE0">
        <w:rPr>
          <w:rFonts w:asciiTheme="minorHAnsi" w:hAnsiTheme="minorHAnsi" w:cs="Times New Roman"/>
          <w:b/>
        </w:rPr>
        <w:t>S</w:t>
      </w:r>
      <w:r>
        <w:rPr>
          <w:rFonts w:asciiTheme="minorHAnsi" w:hAnsiTheme="minorHAnsi" w:cs="Times New Roman"/>
          <w:b/>
        </w:rPr>
        <w:t>3</w:t>
      </w:r>
      <w:r w:rsidRPr="00B61E0B">
        <w:rPr>
          <w:rFonts w:asciiTheme="minorHAnsi" w:hAnsiTheme="minorHAnsi" w:cs="Times New Roman"/>
          <w:b/>
        </w:rPr>
        <w:t xml:space="preserve">.11 – </w:t>
      </w:r>
      <w:r w:rsidRPr="00B61E0B">
        <w:rPr>
          <w:rFonts w:asciiTheme="minorHAnsi" w:hAnsiTheme="minorHAnsi" w:cs="Times New Roman"/>
        </w:rPr>
        <w:t>Results of categorical regression analysis of the significance in variation between different regions of Europe</w:t>
      </w:r>
    </w:p>
    <w:tbl>
      <w:tblPr>
        <w:tblW w:w="0" w:type="auto"/>
        <w:tblBorders>
          <w:top w:val="single" w:sz="4" w:space="0" w:color="auto"/>
          <w:bottom w:val="single" w:sz="4" w:space="0" w:color="auto"/>
        </w:tblBorders>
        <w:shd w:val="clear" w:color="auto" w:fill="D9D9D9" w:themeFill="background1" w:themeFillShade="D9"/>
        <w:tblLook w:val="04A0" w:firstRow="1" w:lastRow="0" w:firstColumn="1" w:lastColumn="0" w:noHBand="0" w:noVBand="1"/>
      </w:tblPr>
      <w:tblGrid>
        <w:gridCol w:w="1705"/>
        <w:gridCol w:w="1216"/>
        <w:gridCol w:w="1076"/>
        <w:gridCol w:w="1076"/>
        <w:gridCol w:w="1076"/>
      </w:tblGrid>
      <w:tr w:rsidR="00DD0E64" w:rsidRPr="00B61E0B" w:rsidTr="00C85987">
        <w:tc>
          <w:tcPr>
            <w:tcW w:w="1705"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Variables</w:t>
            </w:r>
          </w:p>
        </w:tc>
        <w:tc>
          <w:tcPr>
            <w:tcW w:w="121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Α</w:t>
            </w:r>
          </w:p>
        </w:tc>
        <w:tc>
          <w:tcPr>
            <w:tcW w:w="107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North</w:t>
            </w:r>
          </w:p>
        </w:tc>
        <w:tc>
          <w:tcPr>
            <w:tcW w:w="107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South</w:t>
            </w:r>
          </w:p>
        </w:tc>
        <w:tc>
          <w:tcPr>
            <w:tcW w:w="1076" w:type="dxa"/>
            <w:tcBorders>
              <w:top w:val="single" w:sz="4" w:space="0" w:color="auto"/>
              <w:bottom w:val="single" w:sz="4" w:space="0" w:color="auto"/>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West</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Area</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0.2832</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0.1833</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-0.3318</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-0.1544</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Δ HB</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0.0548</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0.0294</w:t>
            </w:r>
          </w:p>
        </w:tc>
        <w:tc>
          <w:tcPr>
            <w:tcW w:w="1076" w:type="dxa"/>
            <w:shd w:val="clear" w:color="auto" w:fill="D9D9D9" w:themeFill="background1" w:themeFillShade="D9"/>
          </w:tcPr>
          <w:p w:rsidR="00DD0E64" w:rsidRPr="002F47A6" w:rsidRDefault="00DD0E64" w:rsidP="00C85987">
            <w:pPr>
              <w:spacing w:after="0"/>
              <w:rPr>
                <w:rFonts w:asciiTheme="minorHAnsi" w:hAnsiTheme="minorHAnsi" w:cs="Times New Roman"/>
                <w:sz w:val="18"/>
                <w:vertAlign w:val="superscript"/>
              </w:rPr>
            </w:pPr>
            <w:r>
              <w:rPr>
                <w:rFonts w:asciiTheme="minorHAnsi" w:hAnsiTheme="minorHAnsi" w:cs="Times New Roman"/>
                <w:sz w:val="18"/>
              </w:rPr>
              <w:t>0.2552</w:t>
            </w:r>
            <w:r>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-0.1056</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SD</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-0.1600</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-0.0611</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0.7393</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0.0271</w:t>
            </w:r>
          </w:p>
        </w:tc>
      </w:tr>
      <w:tr w:rsidR="00DD0E64" w:rsidRPr="00B61E0B" w:rsidTr="00C85987">
        <w:trPr>
          <w:trHeight w:val="80"/>
        </w:trPr>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PSCL</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-0.1456</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-0.0289</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0.6768</w:t>
            </w:r>
            <w:r w:rsidRPr="00B61E0B">
              <w:rPr>
                <w:rFonts w:asciiTheme="minorHAnsi" w:hAnsiTheme="minorHAnsi" w:cs="Times New Roman"/>
                <w:sz w:val="18"/>
                <w:vertAlign w:val="superscript"/>
              </w:rPr>
              <w:t>*</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b/>
                <w:sz w:val="18"/>
              </w:rPr>
            </w:pPr>
            <w:r w:rsidRPr="00B61E0B">
              <w:rPr>
                <w:rFonts w:asciiTheme="minorHAnsi" w:hAnsiTheme="minorHAnsi" w:cs="Times New Roman"/>
                <w:sz w:val="18"/>
              </w:rPr>
              <w:t>0.0341</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PSCA</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-0.1656</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-0.0211</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0.7481</w:t>
            </w:r>
            <w:r w:rsidRPr="00B61E0B">
              <w:rPr>
                <w:rFonts w:asciiTheme="minorHAnsi" w:hAnsiTheme="minorHAnsi" w:cs="Times New Roman"/>
                <w:sz w:val="18"/>
                <w:vertAlign w:val="superscript"/>
              </w:rPr>
              <w:t>*</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0.0312</w:t>
            </w:r>
          </w:p>
        </w:tc>
      </w:tr>
      <w:tr w:rsidR="00DD0E64" w:rsidRPr="00B61E0B" w:rsidTr="00C85987">
        <w:tc>
          <w:tcPr>
            <w:tcW w:w="1705"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PSCU</w:t>
            </w:r>
          </w:p>
        </w:tc>
        <w:tc>
          <w:tcPr>
            <w:tcW w:w="121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-0.1333</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-0.0300</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vertAlign w:val="superscript"/>
              </w:rPr>
            </w:pPr>
            <w:r w:rsidRPr="00B61E0B">
              <w:rPr>
                <w:rFonts w:asciiTheme="minorHAnsi" w:hAnsiTheme="minorHAnsi" w:cs="Times New Roman"/>
                <w:sz w:val="18"/>
              </w:rPr>
              <w:t>0.7602</w:t>
            </w:r>
            <w:r w:rsidRPr="00B61E0B">
              <w:rPr>
                <w:rFonts w:asciiTheme="minorHAnsi" w:hAnsiTheme="minorHAnsi" w:cs="Times New Roman"/>
                <w:sz w:val="18"/>
                <w:vertAlign w:val="superscript"/>
              </w:rPr>
              <w:t>*</w:t>
            </w:r>
          </w:p>
        </w:tc>
        <w:tc>
          <w:tcPr>
            <w:tcW w:w="1076" w:type="dxa"/>
            <w:tcBorders>
              <w:top w:val="nil"/>
              <w:bottom w:val="nil"/>
            </w:tcBorders>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0.0148</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OFR</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0.5887</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0.5446</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0.3684</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0.4336</w:t>
            </w:r>
          </w:p>
        </w:tc>
      </w:tr>
      <w:tr w:rsidR="00DD0E64" w:rsidRPr="00B61E0B" w:rsidTr="00C85987">
        <w:tc>
          <w:tcPr>
            <w:tcW w:w="1705"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sidRPr="00B61E0B">
              <w:rPr>
                <w:rFonts w:asciiTheme="minorHAnsi" w:hAnsiTheme="minorHAnsi" w:cs="Times New Roman"/>
                <w:sz w:val="18"/>
              </w:rPr>
              <w:t>Δ BF</w:t>
            </w:r>
          </w:p>
        </w:tc>
        <w:tc>
          <w:tcPr>
            <w:tcW w:w="121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-0.1485</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0.2667</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-0.557</w:t>
            </w:r>
          </w:p>
        </w:tc>
        <w:tc>
          <w:tcPr>
            <w:tcW w:w="1076" w:type="dxa"/>
            <w:shd w:val="clear" w:color="auto" w:fill="D9D9D9" w:themeFill="background1" w:themeFillShade="D9"/>
          </w:tcPr>
          <w:p w:rsidR="00DD0E64" w:rsidRPr="00B61E0B" w:rsidRDefault="00DD0E64" w:rsidP="00C85987">
            <w:pPr>
              <w:spacing w:after="0"/>
              <w:rPr>
                <w:rFonts w:asciiTheme="minorHAnsi" w:hAnsiTheme="minorHAnsi" w:cs="Times New Roman"/>
                <w:sz w:val="18"/>
              </w:rPr>
            </w:pPr>
            <w:r>
              <w:rPr>
                <w:rFonts w:asciiTheme="minorHAnsi" w:hAnsiTheme="minorHAnsi" w:cs="Times New Roman"/>
                <w:sz w:val="18"/>
              </w:rPr>
              <w:t>0.5811</w:t>
            </w:r>
          </w:p>
        </w:tc>
      </w:tr>
    </w:tbl>
    <w:p w:rsidR="00DD0E64" w:rsidRPr="00B61E0B" w:rsidRDefault="00DD0E64" w:rsidP="00DD0E64">
      <w:pPr>
        <w:rPr>
          <w:rFonts w:asciiTheme="minorHAnsi" w:hAnsiTheme="minorHAnsi" w:cs="Times New Roman"/>
          <w:sz w:val="18"/>
          <w:szCs w:val="18"/>
        </w:rPr>
      </w:pPr>
      <w:r w:rsidRPr="00B61E0B">
        <w:rPr>
          <w:rFonts w:asciiTheme="minorHAnsi" w:hAnsiTheme="minorHAnsi" w:cs="Times New Roman"/>
          <w:sz w:val="18"/>
          <w:szCs w:val="18"/>
        </w:rPr>
        <w:t>Variables = Variable assessed, α = regression intercept coefficient, EU-15 = slope coefficient for the 15 pre-2004 members of the European Union, EU-12 = slope coefficient for members of the EU joining in or after 2004. Significance: ***</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P&lt;0.0001,</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P&lt;0.01, *</w:t>
      </w:r>
      <w:r w:rsidRPr="00B61E0B">
        <w:rPr>
          <w:rFonts w:asciiTheme="minorHAnsi" w:hAnsiTheme="minorHAnsi" w:cs="Times New Roman"/>
          <w:sz w:val="18"/>
          <w:szCs w:val="18"/>
          <w:vertAlign w:val="superscript"/>
        </w:rPr>
        <w:t xml:space="preserve"> </w:t>
      </w:r>
      <w:r w:rsidRPr="00B61E0B">
        <w:rPr>
          <w:rFonts w:asciiTheme="minorHAnsi" w:hAnsiTheme="minorHAnsi" w:cs="Times New Roman"/>
          <w:sz w:val="18"/>
          <w:szCs w:val="18"/>
        </w:rPr>
        <w:t xml:space="preserve">= P&lt;0.05 + = P&lt;0.1. </w:t>
      </w:r>
      <w:r w:rsidRPr="00B61E0B">
        <w:rPr>
          <w:rFonts w:asciiTheme="minorHAnsi" w:hAnsiTheme="minorHAnsi" w:cs="Times New Roman"/>
          <w:sz w:val="18"/>
        </w:rPr>
        <w:t xml:space="preserve">Δ Area = % change in the total area of insect-pollinated crops between 2005 and 2010. Δ DD = % change in Density of Demand, (the mean number of hives required per hectare of insect-pollinated crop, weighted by the area of each crop and divided by two to represent the potential for hive movement within a year) at lower (L), average (A) and upper (U) recommended stocking rate assumptions between 2005 and 2010. Δ SD = Supply Density, the number of colonies available per hectare of insect-pollinated crop between 2005 and 2010. Δ PSC = % change in Pollination service capacity, the capacity of honey bee stocks to supply pollination services under lower (L), average (A) and upper (U) recommended stocking rate assumptions. Δ OFR = % change in the ratio of oilseeds to fruits within insect pollinated crop area between 2005 and 2010. Δ BF = % change in the total area of biofuel crops, oilseed rape, sunflower and soybean between 2005 and 2010. </w:t>
      </w:r>
    </w:p>
    <w:p w:rsidR="00DD0E64" w:rsidRDefault="00DD0E64" w:rsidP="00DD0E64">
      <w:pPr>
        <w:rPr>
          <w:rFonts w:asciiTheme="minorHAnsi" w:hAnsiTheme="minorHAnsi" w:cs="Times New Roman"/>
          <w:b/>
        </w:rPr>
      </w:pPr>
    </w:p>
    <w:sectPr w:rsidR="00DD0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3E8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3A662E"/>
    <w:multiLevelType w:val="hybridMultilevel"/>
    <w:tmpl w:val="592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71668"/>
    <w:multiLevelType w:val="hybridMultilevel"/>
    <w:tmpl w:val="4FA02946"/>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3A12A71"/>
    <w:multiLevelType w:val="hybridMultilevel"/>
    <w:tmpl w:val="72408D38"/>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5E361A7"/>
    <w:multiLevelType w:val="hybridMultilevel"/>
    <w:tmpl w:val="6914A938"/>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DDD537D"/>
    <w:multiLevelType w:val="hybridMultilevel"/>
    <w:tmpl w:val="63AAF800"/>
    <w:lvl w:ilvl="0" w:tplc="2E0A9934">
      <w:start w:val="3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64"/>
    <w:rsid w:val="001A2C08"/>
    <w:rsid w:val="00215DEB"/>
    <w:rsid w:val="0041420B"/>
    <w:rsid w:val="00534A23"/>
    <w:rsid w:val="006E1BE0"/>
    <w:rsid w:val="0083175D"/>
    <w:rsid w:val="00DD0E64"/>
    <w:rsid w:val="00DD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64"/>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E64"/>
    <w:rPr>
      <w:color w:val="0000FF"/>
      <w:u w:val="single"/>
    </w:rPr>
  </w:style>
  <w:style w:type="paragraph" w:styleId="FootnoteText">
    <w:name w:val="footnote text"/>
    <w:basedOn w:val="Normal"/>
    <w:link w:val="FootnoteTextChar"/>
    <w:uiPriority w:val="99"/>
    <w:semiHidden/>
    <w:unhideWhenUsed/>
    <w:rsid w:val="00DD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E64"/>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DD0E64"/>
    <w:rPr>
      <w:vertAlign w:val="superscript"/>
    </w:rPr>
  </w:style>
  <w:style w:type="paragraph" w:styleId="BalloonText">
    <w:name w:val="Balloon Text"/>
    <w:basedOn w:val="Normal"/>
    <w:link w:val="BalloonTextChar"/>
    <w:uiPriority w:val="99"/>
    <w:semiHidden/>
    <w:unhideWhenUsed/>
    <w:rsid w:val="00DD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64"/>
    <w:rPr>
      <w:rFonts w:ascii="Tahoma" w:eastAsia="Times New Roman" w:hAnsi="Tahoma" w:cs="Tahoma"/>
      <w:sz w:val="16"/>
      <w:szCs w:val="16"/>
    </w:rPr>
  </w:style>
  <w:style w:type="paragraph" w:styleId="ListParagraph">
    <w:name w:val="List Paragraph"/>
    <w:basedOn w:val="Normal"/>
    <w:uiPriority w:val="99"/>
    <w:qFormat/>
    <w:rsid w:val="00DD0E64"/>
    <w:pPr>
      <w:ind w:left="720"/>
    </w:pPr>
  </w:style>
  <w:style w:type="character" w:styleId="CommentReference">
    <w:name w:val="annotation reference"/>
    <w:basedOn w:val="DefaultParagraphFont"/>
    <w:uiPriority w:val="99"/>
    <w:semiHidden/>
    <w:rsid w:val="00DD0E64"/>
    <w:rPr>
      <w:sz w:val="16"/>
      <w:szCs w:val="16"/>
    </w:rPr>
  </w:style>
  <w:style w:type="paragraph" w:styleId="CommentText">
    <w:name w:val="annotation text"/>
    <w:basedOn w:val="Normal"/>
    <w:link w:val="CommentTextChar"/>
    <w:uiPriority w:val="99"/>
    <w:semiHidden/>
    <w:unhideWhenUsed/>
    <w:rsid w:val="00DD0E64"/>
    <w:pPr>
      <w:spacing w:line="240" w:lineRule="auto"/>
    </w:pPr>
    <w:rPr>
      <w:sz w:val="20"/>
      <w:szCs w:val="20"/>
    </w:rPr>
  </w:style>
  <w:style w:type="character" w:customStyle="1" w:styleId="CommentTextChar">
    <w:name w:val="Comment Text Char"/>
    <w:basedOn w:val="DefaultParagraphFont"/>
    <w:link w:val="CommentText"/>
    <w:uiPriority w:val="99"/>
    <w:semiHidden/>
    <w:rsid w:val="00DD0E64"/>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DD0E64"/>
    <w:rPr>
      <w:b/>
      <w:bCs/>
    </w:rPr>
  </w:style>
  <w:style w:type="character" w:customStyle="1" w:styleId="CommentSubjectChar">
    <w:name w:val="Comment Subject Char"/>
    <w:basedOn w:val="CommentTextChar"/>
    <w:link w:val="CommentSubject"/>
    <w:uiPriority w:val="99"/>
    <w:semiHidden/>
    <w:rsid w:val="00DD0E64"/>
    <w:rPr>
      <w:rFonts w:ascii="Calibri" w:eastAsia="Times New Roman" w:hAnsi="Calibri" w:cs="Calibri"/>
      <w:b/>
      <w:bCs/>
      <w:sz w:val="20"/>
      <w:szCs w:val="20"/>
    </w:rPr>
  </w:style>
  <w:style w:type="paragraph" w:styleId="Header">
    <w:name w:val="header"/>
    <w:basedOn w:val="Normal"/>
    <w:link w:val="HeaderChar"/>
    <w:uiPriority w:val="99"/>
    <w:unhideWhenUsed/>
    <w:rsid w:val="00DD0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64"/>
    <w:rPr>
      <w:rFonts w:ascii="Calibri" w:eastAsia="Times New Roman" w:hAnsi="Calibri" w:cs="Calibri"/>
    </w:rPr>
  </w:style>
  <w:style w:type="paragraph" w:styleId="Footer">
    <w:name w:val="footer"/>
    <w:basedOn w:val="Normal"/>
    <w:link w:val="FooterChar"/>
    <w:uiPriority w:val="99"/>
    <w:unhideWhenUsed/>
    <w:rsid w:val="00DD0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64"/>
    <w:rPr>
      <w:rFonts w:ascii="Calibri" w:eastAsia="Times New Roman" w:hAnsi="Calibri" w:cs="Calibri"/>
    </w:rPr>
  </w:style>
  <w:style w:type="paragraph" w:styleId="Revision">
    <w:name w:val="Revision"/>
    <w:hidden/>
    <w:uiPriority w:val="99"/>
    <w:semiHidden/>
    <w:rsid w:val="00DD0E64"/>
    <w:pPr>
      <w:spacing w:after="0" w:line="240" w:lineRule="auto"/>
    </w:pPr>
    <w:rPr>
      <w:rFonts w:ascii="Calibri" w:eastAsia="Times New Roman" w:hAnsi="Calibri" w:cs="Calibri"/>
      <w:lang w:val="en-US"/>
    </w:rPr>
  </w:style>
  <w:style w:type="character" w:styleId="LineNumber">
    <w:name w:val="line number"/>
    <w:basedOn w:val="DefaultParagraphFont"/>
    <w:uiPriority w:val="99"/>
    <w:semiHidden/>
    <w:unhideWhenUsed/>
    <w:rsid w:val="00DD0E64"/>
  </w:style>
  <w:style w:type="table" w:styleId="TableGrid">
    <w:name w:val="Table Grid"/>
    <w:basedOn w:val="TableNormal"/>
    <w:uiPriority w:val="59"/>
    <w:rsid w:val="00DD0E6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D0E64"/>
    <w:rPr>
      <w:b/>
      <w:bCs/>
    </w:rPr>
  </w:style>
  <w:style w:type="character" w:styleId="FollowedHyperlink">
    <w:name w:val="FollowedHyperlink"/>
    <w:basedOn w:val="DefaultParagraphFont"/>
    <w:uiPriority w:val="99"/>
    <w:semiHidden/>
    <w:unhideWhenUsed/>
    <w:rsid w:val="00DD0E64"/>
    <w:rPr>
      <w:color w:val="800080" w:themeColor="followedHyperlink"/>
      <w:u w:val="single"/>
    </w:rPr>
  </w:style>
  <w:style w:type="character" w:customStyle="1" w:styleId="leaf">
    <w:name w:val="leaf"/>
    <w:basedOn w:val="DefaultParagraphFont"/>
    <w:rsid w:val="00DD0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64"/>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E64"/>
    <w:rPr>
      <w:color w:val="0000FF"/>
      <w:u w:val="single"/>
    </w:rPr>
  </w:style>
  <w:style w:type="paragraph" w:styleId="FootnoteText">
    <w:name w:val="footnote text"/>
    <w:basedOn w:val="Normal"/>
    <w:link w:val="FootnoteTextChar"/>
    <w:uiPriority w:val="99"/>
    <w:semiHidden/>
    <w:unhideWhenUsed/>
    <w:rsid w:val="00DD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E64"/>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DD0E64"/>
    <w:rPr>
      <w:vertAlign w:val="superscript"/>
    </w:rPr>
  </w:style>
  <w:style w:type="paragraph" w:styleId="BalloonText">
    <w:name w:val="Balloon Text"/>
    <w:basedOn w:val="Normal"/>
    <w:link w:val="BalloonTextChar"/>
    <w:uiPriority w:val="99"/>
    <w:semiHidden/>
    <w:unhideWhenUsed/>
    <w:rsid w:val="00DD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64"/>
    <w:rPr>
      <w:rFonts w:ascii="Tahoma" w:eastAsia="Times New Roman" w:hAnsi="Tahoma" w:cs="Tahoma"/>
      <w:sz w:val="16"/>
      <w:szCs w:val="16"/>
    </w:rPr>
  </w:style>
  <w:style w:type="paragraph" w:styleId="ListParagraph">
    <w:name w:val="List Paragraph"/>
    <w:basedOn w:val="Normal"/>
    <w:uiPriority w:val="99"/>
    <w:qFormat/>
    <w:rsid w:val="00DD0E64"/>
    <w:pPr>
      <w:ind w:left="720"/>
    </w:pPr>
  </w:style>
  <w:style w:type="character" w:styleId="CommentReference">
    <w:name w:val="annotation reference"/>
    <w:basedOn w:val="DefaultParagraphFont"/>
    <w:uiPriority w:val="99"/>
    <w:semiHidden/>
    <w:rsid w:val="00DD0E64"/>
    <w:rPr>
      <w:sz w:val="16"/>
      <w:szCs w:val="16"/>
    </w:rPr>
  </w:style>
  <w:style w:type="paragraph" w:styleId="CommentText">
    <w:name w:val="annotation text"/>
    <w:basedOn w:val="Normal"/>
    <w:link w:val="CommentTextChar"/>
    <w:uiPriority w:val="99"/>
    <w:semiHidden/>
    <w:unhideWhenUsed/>
    <w:rsid w:val="00DD0E64"/>
    <w:pPr>
      <w:spacing w:line="240" w:lineRule="auto"/>
    </w:pPr>
    <w:rPr>
      <w:sz w:val="20"/>
      <w:szCs w:val="20"/>
    </w:rPr>
  </w:style>
  <w:style w:type="character" w:customStyle="1" w:styleId="CommentTextChar">
    <w:name w:val="Comment Text Char"/>
    <w:basedOn w:val="DefaultParagraphFont"/>
    <w:link w:val="CommentText"/>
    <w:uiPriority w:val="99"/>
    <w:semiHidden/>
    <w:rsid w:val="00DD0E64"/>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DD0E64"/>
    <w:rPr>
      <w:b/>
      <w:bCs/>
    </w:rPr>
  </w:style>
  <w:style w:type="character" w:customStyle="1" w:styleId="CommentSubjectChar">
    <w:name w:val="Comment Subject Char"/>
    <w:basedOn w:val="CommentTextChar"/>
    <w:link w:val="CommentSubject"/>
    <w:uiPriority w:val="99"/>
    <w:semiHidden/>
    <w:rsid w:val="00DD0E64"/>
    <w:rPr>
      <w:rFonts w:ascii="Calibri" w:eastAsia="Times New Roman" w:hAnsi="Calibri" w:cs="Calibri"/>
      <w:b/>
      <w:bCs/>
      <w:sz w:val="20"/>
      <w:szCs w:val="20"/>
    </w:rPr>
  </w:style>
  <w:style w:type="paragraph" w:styleId="Header">
    <w:name w:val="header"/>
    <w:basedOn w:val="Normal"/>
    <w:link w:val="HeaderChar"/>
    <w:uiPriority w:val="99"/>
    <w:unhideWhenUsed/>
    <w:rsid w:val="00DD0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64"/>
    <w:rPr>
      <w:rFonts w:ascii="Calibri" w:eastAsia="Times New Roman" w:hAnsi="Calibri" w:cs="Calibri"/>
    </w:rPr>
  </w:style>
  <w:style w:type="paragraph" w:styleId="Footer">
    <w:name w:val="footer"/>
    <w:basedOn w:val="Normal"/>
    <w:link w:val="FooterChar"/>
    <w:uiPriority w:val="99"/>
    <w:unhideWhenUsed/>
    <w:rsid w:val="00DD0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64"/>
    <w:rPr>
      <w:rFonts w:ascii="Calibri" w:eastAsia="Times New Roman" w:hAnsi="Calibri" w:cs="Calibri"/>
    </w:rPr>
  </w:style>
  <w:style w:type="paragraph" w:styleId="Revision">
    <w:name w:val="Revision"/>
    <w:hidden/>
    <w:uiPriority w:val="99"/>
    <w:semiHidden/>
    <w:rsid w:val="00DD0E64"/>
    <w:pPr>
      <w:spacing w:after="0" w:line="240" w:lineRule="auto"/>
    </w:pPr>
    <w:rPr>
      <w:rFonts w:ascii="Calibri" w:eastAsia="Times New Roman" w:hAnsi="Calibri" w:cs="Calibri"/>
      <w:lang w:val="en-US"/>
    </w:rPr>
  </w:style>
  <w:style w:type="character" w:styleId="LineNumber">
    <w:name w:val="line number"/>
    <w:basedOn w:val="DefaultParagraphFont"/>
    <w:uiPriority w:val="99"/>
    <w:semiHidden/>
    <w:unhideWhenUsed/>
    <w:rsid w:val="00DD0E64"/>
  </w:style>
  <w:style w:type="table" w:styleId="TableGrid">
    <w:name w:val="Table Grid"/>
    <w:basedOn w:val="TableNormal"/>
    <w:uiPriority w:val="59"/>
    <w:rsid w:val="00DD0E6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D0E64"/>
    <w:rPr>
      <w:b/>
      <w:bCs/>
    </w:rPr>
  </w:style>
  <w:style w:type="character" w:styleId="FollowedHyperlink">
    <w:name w:val="FollowedHyperlink"/>
    <w:basedOn w:val="DefaultParagraphFont"/>
    <w:uiPriority w:val="99"/>
    <w:semiHidden/>
    <w:unhideWhenUsed/>
    <w:rsid w:val="00DD0E64"/>
    <w:rPr>
      <w:color w:val="800080" w:themeColor="followedHyperlink"/>
      <w:u w:val="single"/>
    </w:rPr>
  </w:style>
  <w:style w:type="character" w:customStyle="1" w:styleId="leaf">
    <w:name w:val="leaf"/>
    <w:basedOn w:val="DefaultParagraphFont"/>
    <w:rsid w:val="00DD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Tom Breeze</cp:lastModifiedBy>
  <cp:revision>4</cp:revision>
  <dcterms:created xsi:type="dcterms:W3CDTF">2013-09-23T09:28:00Z</dcterms:created>
  <dcterms:modified xsi:type="dcterms:W3CDTF">2013-11-21T13:59:00Z</dcterms:modified>
</cp:coreProperties>
</file>