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CC" w:rsidRPr="000D3FDE" w:rsidRDefault="0047736A" w:rsidP="003636CC">
      <w:pPr>
        <w:spacing w:after="0"/>
      </w:pPr>
      <w:r>
        <w:rPr>
          <w:b/>
          <w:color w:val="000000"/>
        </w:rPr>
        <w:t>Table S1</w:t>
      </w:r>
      <w:r w:rsidR="003636CC">
        <w:rPr>
          <w:b/>
          <w:bCs/>
        </w:rPr>
        <w:t>:</w:t>
      </w:r>
      <w:r w:rsidR="003636CC" w:rsidRPr="000D3FDE">
        <w:t xml:space="preserve"> </w:t>
      </w:r>
      <w:r w:rsidR="003636CC" w:rsidRPr="000D3FDE">
        <w:rPr>
          <w:b/>
          <w:bCs/>
        </w:rPr>
        <w:t>Sensitivity analysis for g</w:t>
      </w:r>
      <w:r w:rsidR="003636CC" w:rsidRPr="000D3FDE">
        <w:rPr>
          <w:b/>
          <w:color w:val="000000"/>
        </w:rPr>
        <w:t>ap-time unrestricted proportional hazards analysis of infection type and time to HCV spontaneous clearance</w:t>
      </w:r>
    </w:p>
    <w:tbl>
      <w:tblPr>
        <w:tblStyle w:val="LightShading"/>
        <w:tblW w:w="0" w:type="auto"/>
        <w:tblLook w:val="06A0"/>
      </w:tblPr>
      <w:tblGrid>
        <w:gridCol w:w="3936"/>
        <w:gridCol w:w="3687"/>
        <w:gridCol w:w="965"/>
        <w:gridCol w:w="1601"/>
        <w:gridCol w:w="1418"/>
        <w:gridCol w:w="1779"/>
        <w:gridCol w:w="788"/>
      </w:tblGrid>
      <w:tr w:rsidR="003636CC" w:rsidRPr="00810B4F" w:rsidTr="00810B4F">
        <w:trPr>
          <w:cnfStyle w:val="100000000000"/>
        </w:trPr>
        <w:tc>
          <w:tcPr>
            <w:cnfStyle w:val="001000000000"/>
            <w:tcW w:w="3936" w:type="dxa"/>
          </w:tcPr>
          <w:p w:rsidR="003636CC" w:rsidRPr="00810B4F" w:rsidRDefault="003636CC" w:rsidP="00E738F0">
            <w:pPr>
              <w:rPr>
                <w:sz w:val="22"/>
                <w:szCs w:val="22"/>
              </w:rPr>
            </w:pPr>
            <w:r w:rsidRPr="00810B4F">
              <w:rPr>
                <w:sz w:val="22"/>
                <w:szCs w:val="22"/>
              </w:rPr>
              <w:t>Type of infection</w:t>
            </w:r>
          </w:p>
        </w:tc>
        <w:tc>
          <w:tcPr>
            <w:tcW w:w="3687" w:type="dxa"/>
          </w:tcPr>
          <w:p w:rsidR="003636CC" w:rsidRPr="00810B4F" w:rsidRDefault="003636CC" w:rsidP="00E738F0">
            <w:pPr>
              <w:cnfStyle w:val="100000000000"/>
              <w:rPr>
                <w:sz w:val="22"/>
                <w:szCs w:val="22"/>
              </w:rPr>
            </w:pPr>
            <w:r w:rsidRPr="00810B4F">
              <w:rPr>
                <w:color w:val="000000"/>
                <w:sz w:val="22"/>
                <w:szCs w:val="22"/>
              </w:rPr>
              <w:t xml:space="preserve">Inclusion of participants with only one HCV RNA negative as their last </w:t>
            </w:r>
            <w:proofErr w:type="spellStart"/>
            <w:r w:rsidRPr="00810B4F">
              <w:rPr>
                <w:color w:val="000000"/>
                <w:sz w:val="22"/>
                <w:szCs w:val="22"/>
              </w:rPr>
              <w:t>measurements</w:t>
            </w:r>
            <w:r w:rsidRPr="00810B4F">
              <w:rPr>
                <w:color w:val="000000"/>
                <w:sz w:val="22"/>
                <w:szCs w:val="22"/>
                <w:vertAlign w:val="superscript"/>
              </w:rPr>
              <w:t>a</w:t>
            </w:r>
            <w:proofErr w:type="spellEnd"/>
          </w:p>
        </w:tc>
        <w:tc>
          <w:tcPr>
            <w:tcW w:w="0" w:type="auto"/>
          </w:tcPr>
          <w:p w:rsidR="003636CC" w:rsidRPr="00810B4F" w:rsidRDefault="003636CC" w:rsidP="00E738F0">
            <w:pPr>
              <w:cnfStyle w:val="100000000000"/>
              <w:rPr>
                <w:sz w:val="22"/>
                <w:szCs w:val="22"/>
              </w:rPr>
            </w:pPr>
            <w:r w:rsidRPr="00810B4F">
              <w:rPr>
                <w:sz w:val="22"/>
                <w:szCs w:val="22"/>
              </w:rPr>
              <w:t>Number</w:t>
            </w:r>
          </w:p>
        </w:tc>
        <w:tc>
          <w:tcPr>
            <w:tcW w:w="1601" w:type="dxa"/>
          </w:tcPr>
          <w:p w:rsidR="003636CC" w:rsidRPr="00810B4F" w:rsidRDefault="003636CC" w:rsidP="00E738F0">
            <w:pPr>
              <w:cnfStyle w:val="100000000000"/>
              <w:rPr>
                <w:sz w:val="22"/>
                <w:szCs w:val="22"/>
              </w:rPr>
            </w:pPr>
            <w:r w:rsidRPr="00810B4F">
              <w:rPr>
                <w:sz w:val="22"/>
                <w:szCs w:val="22"/>
              </w:rPr>
              <w:t>Number with follow-up (%)</w:t>
            </w:r>
          </w:p>
        </w:tc>
        <w:tc>
          <w:tcPr>
            <w:tcW w:w="1418" w:type="dxa"/>
          </w:tcPr>
          <w:p w:rsidR="003636CC" w:rsidRPr="00810B4F" w:rsidRDefault="003636CC" w:rsidP="00E738F0">
            <w:pPr>
              <w:cnfStyle w:val="100000000000"/>
              <w:rPr>
                <w:sz w:val="22"/>
                <w:szCs w:val="22"/>
              </w:rPr>
            </w:pPr>
            <w:r w:rsidRPr="00810B4F">
              <w:rPr>
                <w:sz w:val="22"/>
                <w:szCs w:val="22"/>
              </w:rPr>
              <w:t>Clearances (%)</w:t>
            </w:r>
          </w:p>
        </w:tc>
        <w:tc>
          <w:tcPr>
            <w:tcW w:w="1779" w:type="dxa"/>
          </w:tcPr>
          <w:p w:rsidR="003636CC" w:rsidRPr="00810B4F" w:rsidRDefault="003636CC" w:rsidP="00E738F0">
            <w:pPr>
              <w:cnfStyle w:val="100000000000"/>
              <w:rPr>
                <w:sz w:val="22"/>
                <w:szCs w:val="22"/>
              </w:rPr>
            </w:pPr>
            <w:r w:rsidRPr="00810B4F">
              <w:rPr>
                <w:sz w:val="22"/>
                <w:szCs w:val="22"/>
              </w:rPr>
              <w:t>HR (95% CI)</w:t>
            </w:r>
            <w:r w:rsidRPr="00810B4F">
              <w:rPr>
                <w:sz w:val="22"/>
                <w:szCs w:val="22"/>
                <w:vertAlign w:val="superscript"/>
              </w:rPr>
              <w:t>b</w:t>
            </w:r>
          </w:p>
        </w:tc>
        <w:tc>
          <w:tcPr>
            <w:tcW w:w="0" w:type="auto"/>
          </w:tcPr>
          <w:p w:rsidR="003636CC" w:rsidRPr="00810B4F" w:rsidRDefault="003636CC" w:rsidP="00E738F0">
            <w:pPr>
              <w:cnfStyle w:val="100000000000"/>
              <w:rPr>
                <w:sz w:val="22"/>
                <w:szCs w:val="22"/>
              </w:rPr>
            </w:pPr>
            <w:r w:rsidRPr="00810B4F">
              <w:rPr>
                <w:sz w:val="22"/>
                <w:szCs w:val="22"/>
              </w:rPr>
              <w:t>p-value</w:t>
            </w:r>
          </w:p>
        </w:tc>
      </w:tr>
      <w:tr w:rsidR="003636CC" w:rsidRPr="00810B4F" w:rsidTr="00810B4F">
        <w:tc>
          <w:tcPr>
            <w:cnfStyle w:val="001000000000"/>
            <w:tcW w:w="3936" w:type="dxa"/>
          </w:tcPr>
          <w:p w:rsidR="003636CC" w:rsidRPr="00810B4F" w:rsidRDefault="003636CC" w:rsidP="00E738F0">
            <w:pPr>
              <w:rPr>
                <w:sz w:val="22"/>
                <w:szCs w:val="22"/>
              </w:rPr>
            </w:pPr>
            <w:r w:rsidRPr="00810B4F">
              <w:rPr>
                <w:sz w:val="22"/>
                <w:szCs w:val="22"/>
              </w:rPr>
              <w:t>- Primary infection</w:t>
            </w:r>
          </w:p>
        </w:tc>
        <w:tc>
          <w:tcPr>
            <w:tcW w:w="3687" w:type="dxa"/>
          </w:tcPr>
          <w:p w:rsidR="003636CC" w:rsidRPr="00810B4F" w:rsidRDefault="003636CC" w:rsidP="00E738F0">
            <w:pPr>
              <w:cnfStyle w:val="000000000000"/>
              <w:rPr>
                <w:sz w:val="22"/>
                <w:szCs w:val="22"/>
              </w:rPr>
            </w:pPr>
            <w:r w:rsidRPr="00810B4F">
              <w:rPr>
                <w:sz w:val="22"/>
                <w:szCs w:val="22"/>
              </w:rPr>
              <w:t xml:space="preserve">Included </w:t>
            </w:r>
          </w:p>
        </w:tc>
        <w:tc>
          <w:tcPr>
            <w:tcW w:w="0" w:type="auto"/>
          </w:tcPr>
          <w:p w:rsidR="003636CC" w:rsidRPr="00810B4F" w:rsidRDefault="003636CC" w:rsidP="00E738F0">
            <w:pPr>
              <w:cnfStyle w:val="000000000000"/>
              <w:rPr>
                <w:sz w:val="22"/>
                <w:szCs w:val="22"/>
              </w:rPr>
            </w:pPr>
            <w:r w:rsidRPr="00810B4F">
              <w:rPr>
                <w:sz w:val="22"/>
                <w:szCs w:val="22"/>
              </w:rPr>
              <w:t>26</w:t>
            </w:r>
          </w:p>
        </w:tc>
        <w:tc>
          <w:tcPr>
            <w:tcW w:w="0" w:type="auto"/>
          </w:tcPr>
          <w:p w:rsidR="003636CC" w:rsidRPr="00810B4F" w:rsidRDefault="003636CC" w:rsidP="00E738F0">
            <w:pPr>
              <w:cnfStyle w:val="000000000000"/>
              <w:rPr>
                <w:sz w:val="22"/>
                <w:szCs w:val="22"/>
              </w:rPr>
            </w:pPr>
            <w:r w:rsidRPr="00810B4F">
              <w:rPr>
                <w:sz w:val="22"/>
                <w:szCs w:val="22"/>
              </w:rPr>
              <w:t>24 (92)</w:t>
            </w:r>
          </w:p>
        </w:tc>
        <w:tc>
          <w:tcPr>
            <w:tcW w:w="1418" w:type="dxa"/>
          </w:tcPr>
          <w:p w:rsidR="003636CC" w:rsidRPr="00810B4F" w:rsidRDefault="003636CC" w:rsidP="00E738F0">
            <w:pPr>
              <w:cnfStyle w:val="000000000000"/>
              <w:rPr>
                <w:sz w:val="22"/>
                <w:szCs w:val="22"/>
              </w:rPr>
            </w:pPr>
            <w:r w:rsidRPr="00810B4F">
              <w:rPr>
                <w:sz w:val="22"/>
                <w:szCs w:val="22"/>
              </w:rPr>
              <w:t>6 (25)</w:t>
            </w:r>
          </w:p>
        </w:tc>
        <w:tc>
          <w:tcPr>
            <w:tcW w:w="1779" w:type="dxa"/>
          </w:tcPr>
          <w:p w:rsidR="003636CC" w:rsidRPr="00810B4F" w:rsidRDefault="003636CC" w:rsidP="00E738F0">
            <w:pPr>
              <w:cnfStyle w:val="000000000000"/>
              <w:rPr>
                <w:sz w:val="22"/>
                <w:szCs w:val="22"/>
              </w:rPr>
            </w:pPr>
            <w:r w:rsidRPr="00810B4F">
              <w:rPr>
                <w:sz w:val="22"/>
                <w:szCs w:val="22"/>
              </w:rPr>
              <w:t>1.00</w:t>
            </w:r>
          </w:p>
        </w:tc>
        <w:tc>
          <w:tcPr>
            <w:tcW w:w="0" w:type="auto"/>
          </w:tcPr>
          <w:p w:rsidR="003636CC" w:rsidRPr="00810B4F" w:rsidRDefault="003636CC" w:rsidP="00E738F0">
            <w:pPr>
              <w:cnfStyle w:val="000000000000"/>
              <w:rPr>
                <w:sz w:val="22"/>
                <w:szCs w:val="22"/>
              </w:rPr>
            </w:pPr>
          </w:p>
        </w:tc>
      </w:tr>
      <w:tr w:rsidR="003636CC" w:rsidRPr="00810B4F" w:rsidTr="00810B4F">
        <w:tc>
          <w:tcPr>
            <w:cnfStyle w:val="001000000000"/>
            <w:tcW w:w="3936" w:type="dxa"/>
          </w:tcPr>
          <w:p w:rsidR="003636CC" w:rsidRPr="00810B4F" w:rsidRDefault="003636CC" w:rsidP="00E738F0">
            <w:pPr>
              <w:rPr>
                <w:sz w:val="22"/>
                <w:szCs w:val="22"/>
              </w:rPr>
            </w:pPr>
            <w:r w:rsidRPr="00810B4F">
              <w:rPr>
                <w:sz w:val="22"/>
                <w:szCs w:val="22"/>
              </w:rPr>
              <w:t>- Primary infection</w:t>
            </w:r>
          </w:p>
        </w:tc>
        <w:tc>
          <w:tcPr>
            <w:tcW w:w="3687" w:type="dxa"/>
          </w:tcPr>
          <w:p w:rsidR="003636CC" w:rsidRPr="00810B4F" w:rsidRDefault="003636CC" w:rsidP="00E738F0">
            <w:pPr>
              <w:cnfStyle w:val="000000000000"/>
              <w:rPr>
                <w:sz w:val="22"/>
                <w:szCs w:val="22"/>
              </w:rPr>
            </w:pPr>
            <w:r w:rsidRPr="00810B4F">
              <w:rPr>
                <w:sz w:val="22"/>
                <w:szCs w:val="22"/>
              </w:rPr>
              <w:t>Excluded</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26</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23 (88)</w:t>
            </w:r>
          </w:p>
        </w:tc>
        <w:tc>
          <w:tcPr>
            <w:tcW w:w="1418" w:type="dxa"/>
          </w:tcPr>
          <w:p w:rsidR="003636CC" w:rsidRPr="00810B4F" w:rsidRDefault="003636CC" w:rsidP="00E738F0">
            <w:pPr>
              <w:cnfStyle w:val="000000000000"/>
              <w:rPr>
                <w:color w:val="000000"/>
                <w:sz w:val="22"/>
                <w:szCs w:val="22"/>
              </w:rPr>
            </w:pPr>
            <w:r w:rsidRPr="00810B4F">
              <w:rPr>
                <w:color w:val="000000"/>
                <w:sz w:val="22"/>
                <w:szCs w:val="22"/>
              </w:rPr>
              <w:t>6 (26)</w:t>
            </w:r>
          </w:p>
        </w:tc>
        <w:tc>
          <w:tcPr>
            <w:tcW w:w="1779" w:type="dxa"/>
          </w:tcPr>
          <w:p w:rsidR="003636CC" w:rsidRPr="00810B4F" w:rsidRDefault="003636CC" w:rsidP="00E738F0">
            <w:pPr>
              <w:cnfStyle w:val="000000000000"/>
              <w:rPr>
                <w:color w:val="000000"/>
                <w:sz w:val="22"/>
                <w:szCs w:val="22"/>
              </w:rPr>
            </w:pPr>
            <w:r w:rsidRPr="00810B4F">
              <w:rPr>
                <w:color w:val="000000"/>
                <w:sz w:val="22"/>
                <w:szCs w:val="22"/>
              </w:rPr>
              <w:t>1.00</w:t>
            </w:r>
          </w:p>
        </w:tc>
        <w:tc>
          <w:tcPr>
            <w:tcW w:w="0" w:type="auto"/>
          </w:tcPr>
          <w:p w:rsidR="003636CC" w:rsidRPr="00810B4F" w:rsidRDefault="003636CC" w:rsidP="00E738F0">
            <w:pPr>
              <w:cnfStyle w:val="000000000000"/>
              <w:rPr>
                <w:color w:val="000000"/>
                <w:sz w:val="22"/>
                <w:szCs w:val="22"/>
              </w:rPr>
            </w:pPr>
          </w:p>
        </w:tc>
      </w:tr>
      <w:tr w:rsidR="003636CC" w:rsidRPr="00810B4F" w:rsidTr="00810B4F">
        <w:tc>
          <w:tcPr>
            <w:cnfStyle w:val="001000000000"/>
            <w:tcW w:w="3936" w:type="dxa"/>
          </w:tcPr>
          <w:p w:rsidR="003636CC" w:rsidRPr="00810B4F" w:rsidRDefault="003636CC" w:rsidP="00E738F0">
            <w:pPr>
              <w:rPr>
                <w:sz w:val="22"/>
                <w:szCs w:val="22"/>
              </w:rPr>
            </w:pPr>
            <w:r w:rsidRPr="00810B4F">
              <w:rPr>
                <w:sz w:val="22"/>
                <w:szCs w:val="22"/>
              </w:rPr>
              <w:t>- Reinfection (confirmed only)</w:t>
            </w:r>
          </w:p>
        </w:tc>
        <w:tc>
          <w:tcPr>
            <w:tcW w:w="3687" w:type="dxa"/>
          </w:tcPr>
          <w:p w:rsidR="003636CC" w:rsidRPr="00810B4F" w:rsidRDefault="003636CC" w:rsidP="00E738F0">
            <w:pPr>
              <w:cnfStyle w:val="000000000000"/>
              <w:rPr>
                <w:sz w:val="22"/>
                <w:szCs w:val="22"/>
              </w:rPr>
            </w:pPr>
            <w:r w:rsidRPr="00810B4F">
              <w:rPr>
                <w:sz w:val="22"/>
                <w:szCs w:val="22"/>
              </w:rPr>
              <w:t>Included</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9</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8 (89)</w:t>
            </w:r>
          </w:p>
        </w:tc>
        <w:tc>
          <w:tcPr>
            <w:tcW w:w="1418" w:type="dxa"/>
          </w:tcPr>
          <w:p w:rsidR="003636CC" w:rsidRPr="00810B4F" w:rsidRDefault="003636CC" w:rsidP="00E738F0">
            <w:pPr>
              <w:cnfStyle w:val="000000000000"/>
              <w:rPr>
                <w:color w:val="000000"/>
                <w:sz w:val="22"/>
                <w:szCs w:val="22"/>
              </w:rPr>
            </w:pPr>
            <w:r w:rsidRPr="00810B4F">
              <w:rPr>
                <w:color w:val="000000"/>
                <w:sz w:val="22"/>
                <w:szCs w:val="22"/>
              </w:rPr>
              <w:t>4 (50)</w:t>
            </w:r>
          </w:p>
        </w:tc>
        <w:tc>
          <w:tcPr>
            <w:tcW w:w="1779" w:type="dxa"/>
          </w:tcPr>
          <w:p w:rsidR="003636CC" w:rsidRPr="00810B4F" w:rsidRDefault="003636CC" w:rsidP="00E738F0">
            <w:pPr>
              <w:cnfStyle w:val="000000000000"/>
              <w:rPr>
                <w:b/>
                <w:bCs/>
                <w:color w:val="000000"/>
                <w:sz w:val="22"/>
                <w:szCs w:val="22"/>
              </w:rPr>
            </w:pPr>
            <w:r w:rsidRPr="00810B4F">
              <w:rPr>
                <w:b/>
                <w:bCs/>
                <w:color w:val="000000"/>
                <w:sz w:val="22"/>
                <w:szCs w:val="22"/>
              </w:rPr>
              <w:t>5.34 (1.67-17.03)</w:t>
            </w:r>
          </w:p>
        </w:tc>
        <w:tc>
          <w:tcPr>
            <w:tcW w:w="0" w:type="auto"/>
          </w:tcPr>
          <w:p w:rsidR="003636CC" w:rsidRPr="00810B4F" w:rsidRDefault="003636CC" w:rsidP="00E738F0">
            <w:pPr>
              <w:cnfStyle w:val="000000000000"/>
              <w:rPr>
                <w:b/>
                <w:bCs/>
                <w:color w:val="000000"/>
                <w:sz w:val="22"/>
                <w:szCs w:val="22"/>
              </w:rPr>
            </w:pPr>
            <w:r w:rsidRPr="00810B4F">
              <w:rPr>
                <w:b/>
                <w:bCs/>
                <w:color w:val="000000"/>
                <w:sz w:val="22"/>
                <w:szCs w:val="22"/>
              </w:rPr>
              <w:t>0.005</w:t>
            </w:r>
          </w:p>
        </w:tc>
      </w:tr>
      <w:tr w:rsidR="003636CC" w:rsidRPr="00810B4F" w:rsidTr="00810B4F">
        <w:tc>
          <w:tcPr>
            <w:cnfStyle w:val="001000000000"/>
            <w:tcW w:w="3936" w:type="dxa"/>
          </w:tcPr>
          <w:p w:rsidR="003636CC" w:rsidRPr="00810B4F" w:rsidRDefault="003636CC" w:rsidP="00E738F0">
            <w:pPr>
              <w:rPr>
                <w:sz w:val="22"/>
                <w:szCs w:val="22"/>
              </w:rPr>
            </w:pPr>
            <w:r w:rsidRPr="00810B4F">
              <w:rPr>
                <w:sz w:val="22"/>
                <w:szCs w:val="22"/>
              </w:rPr>
              <w:t>- Reinfection (confirmed only)</w:t>
            </w:r>
          </w:p>
        </w:tc>
        <w:tc>
          <w:tcPr>
            <w:tcW w:w="3687" w:type="dxa"/>
          </w:tcPr>
          <w:p w:rsidR="003636CC" w:rsidRPr="00810B4F" w:rsidRDefault="003636CC" w:rsidP="00E738F0">
            <w:pPr>
              <w:cnfStyle w:val="000000000000"/>
              <w:rPr>
                <w:sz w:val="22"/>
                <w:szCs w:val="22"/>
              </w:rPr>
            </w:pPr>
            <w:r w:rsidRPr="00810B4F">
              <w:rPr>
                <w:sz w:val="22"/>
                <w:szCs w:val="22"/>
              </w:rPr>
              <w:t>Excluded</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9</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7 (78)</w:t>
            </w:r>
          </w:p>
        </w:tc>
        <w:tc>
          <w:tcPr>
            <w:tcW w:w="1418" w:type="dxa"/>
          </w:tcPr>
          <w:p w:rsidR="003636CC" w:rsidRPr="00810B4F" w:rsidRDefault="003636CC" w:rsidP="00E738F0">
            <w:pPr>
              <w:cnfStyle w:val="000000000000"/>
              <w:rPr>
                <w:color w:val="000000"/>
                <w:sz w:val="22"/>
                <w:szCs w:val="22"/>
              </w:rPr>
            </w:pPr>
            <w:r w:rsidRPr="00810B4F">
              <w:rPr>
                <w:color w:val="000000"/>
                <w:sz w:val="22"/>
                <w:szCs w:val="22"/>
              </w:rPr>
              <w:t>4 (57)</w:t>
            </w:r>
          </w:p>
        </w:tc>
        <w:tc>
          <w:tcPr>
            <w:tcW w:w="1779" w:type="dxa"/>
          </w:tcPr>
          <w:p w:rsidR="003636CC" w:rsidRPr="00810B4F" w:rsidRDefault="003636CC" w:rsidP="00E738F0">
            <w:pPr>
              <w:cnfStyle w:val="000000000000"/>
              <w:rPr>
                <w:b/>
                <w:bCs/>
                <w:color w:val="000000"/>
                <w:sz w:val="22"/>
                <w:szCs w:val="22"/>
              </w:rPr>
            </w:pPr>
            <w:r w:rsidRPr="00810B4F">
              <w:rPr>
                <w:b/>
                <w:bCs/>
                <w:color w:val="000000"/>
                <w:sz w:val="22"/>
                <w:szCs w:val="22"/>
              </w:rPr>
              <w:t>5.06 (1.59-16.15)</w:t>
            </w:r>
          </w:p>
        </w:tc>
        <w:tc>
          <w:tcPr>
            <w:tcW w:w="0" w:type="auto"/>
          </w:tcPr>
          <w:p w:rsidR="003636CC" w:rsidRPr="00810B4F" w:rsidRDefault="003636CC" w:rsidP="00E738F0">
            <w:pPr>
              <w:cnfStyle w:val="000000000000"/>
              <w:rPr>
                <w:b/>
                <w:bCs/>
                <w:color w:val="000000"/>
                <w:sz w:val="22"/>
                <w:szCs w:val="22"/>
              </w:rPr>
            </w:pPr>
            <w:r w:rsidRPr="00810B4F">
              <w:rPr>
                <w:b/>
                <w:bCs/>
                <w:color w:val="000000"/>
                <w:sz w:val="22"/>
                <w:szCs w:val="22"/>
              </w:rPr>
              <w:t>0.006</w:t>
            </w:r>
          </w:p>
        </w:tc>
      </w:tr>
      <w:tr w:rsidR="003636CC" w:rsidRPr="00810B4F" w:rsidTr="00810B4F">
        <w:tc>
          <w:tcPr>
            <w:cnfStyle w:val="001000000000"/>
            <w:tcW w:w="3936" w:type="dxa"/>
          </w:tcPr>
          <w:p w:rsidR="003636CC" w:rsidRPr="00810B4F" w:rsidRDefault="003636CC" w:rsidP="00E738F0">
            <w:pPr>
              <w:rPr>
                <w:sz w:val="22"/>
                <w:szCs w:val="22"/>
              </w:rPr>
            </w:pPr>
            <w:r w:rsidRPr="00810B4F">
              <w:rPr>
                <w:sz w:val="22"/>
                <w:szCs w:val="22"/>
              </w:rPr>
              <w:t>- Reinfection (confirmed or possible)</w:t>
            </w:r>
          </w:p>
        </w:tc>
        <w:tc>
          <w:tcPr>
            <w:tcW w:w="3687" w:type="dxa"/>
          </w:tcPr>
          <w:p w:rsidR="003636CC" w:rsidRPr="00810B4F" w:rsidRDefault="003636CC" w:rsidP="00E738F0">
            <w:pPr>
              <w:cnfStyle w:val="000000000000"/>
              <w:rPr>
                <w:sz w:val="22"/>
                <w:szCs w:val="22"/>
              </w:rPr>
            </w:pPr>
            <w:r w:rsidRPr="00810B4F">
              <w:rPr>
                <w:sz w:val="22"/>
                <w:szCs w:val="22"/>
              </w:rPr>
              <w:t xml:space="preserve">Included </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26</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22 (85)</w:t>
            </w:r>
          </w:p>
        </w:tc>
        <w:tc>
          <w:tcPr>
            <w:tcW w:w="1418" w:type="dxa"/>
          </w:tcPr>
          <w:p w:rsidR="003636CC" w:rsidRPr="00810B4F" w:rsidRDefault="003636CC" w:rsidP="00E738F0">
            <w:pPr>
              <w:cnfStyle w:val="000000000000"/>
              <w:rPr>
                <w:color w:val="000000"/>
                <w:sz w:val="22"/>
                <w:szCs w:val="22"/>
              </w:rPr>
            </w:pPr>
            <w:r w:rsidRPr="00810B4F">
              <w:rPr>
                <w:color w:val="000000"/>
                <w:sz w:val="22"/>
                <w:szCs w:val="22"/>
              </w:rPr>
              <w:t>13 (59)</w:t>
            </w:r>
          </w:p>
        </w:tc>
        <w:tc>
          <w:tcPr>
            <w:tcW w:w="1779" w:type="dxa"/>
          </w:tcPr>
          <w:p w:rsidR="003636CC" w:rsidRPr="00810B4F" w:rsidRDefault="003636CC" w:rsidP="00E738F0">
            <w:pPr>
              <w:cnfStyle w:val="000000000000"/>
              <w:rPr>
                <w:b/>
                <w:bCs/>
                <w:color w:val="000000"/>
                <w:sz w:val="22"/>
                <w:szCs w:val="22"/>
              </w:rPr>
            </w:pPr>
            <w:r w:rsidRPr="00810B4F">
              <w:rPr>
                <w:b/>
                <w:bCs/>
                <w:color w:val="000000"/>
                <w:sz w:val="22"/>
                <w:szCs w:val="22"/>
              </w:rPr>
              <w:t>3.10 (1.10-8.76)</w:t>
            </w:r>
          </w:p>
        </w:tc>
        <w:tc>
          <w:tcPr>
            <w:tcW w:w="0" w:type="auto"/>
          </w:tcPr>
          <w:p w:rsidR="003636CC" w:rsidRPr="00810B4F" w:rsidRDefault="003636CC" w:rsidP="00E738F0">
            <w:pPr>
              <w:cnfStyle w:val="000000000000"/>
              <w:rPr>
                <w:b/>
                <w:bCs/>
                <w:color w:val="000000"/>
                <w:sz w:val="22"/>
                <w:szCs w:val="22"/>
              </w:rPr>
            </w:pPr>
            <w:r w:rsidRPr="00810B4F">
              <w:rPr>
                <w:b/>
                <w:bCs/>
                <w:color w:val="000000"/>
                <w:sz w:val="22"/>
                <w:szCs w:val="22"/>
              </w:rPr>
              <w:t>0.033</w:t>
            </w:r>
          </w:p>
        </w:tc>
      </w:tr>
      <w:tr w:rsidR="003636CC" w:rsidRPr="00810B4F" w:rsidTr="00810B4F">
        <w:tc>
          <w:tcPr>
            <w:cnfStyle w:val="001000000000"/>
            <w:tcW w:w="3936" w:type="dxa"/>
          </w:tcPr>
          <w:p w:rsidR="003636CC" w:rsidRPr="00810B4F" w:rsidRDefault="003636CC" w:rsidP="00E738F0">
            <w:pPr>
              <w:rPr>
                <w:sz w:val="22"/>
                <w:szCs w:val="22"/>
              </w:rPr>
            </w:pPr>
            <w:r w:rsidRPr="00810B4F">
              <w:rPr>
                <w:sz w:val="22"/>
                <w:szCs w:val="22"/>
              </w:rPr>
              <w:t>- Reinfection (confirmed or possible)</w:t>
            </w:r>
          </w:p>
        </w:tc>
        <w:tc>
          <w:tcPr>
            <w:tcW w:w="3687" w:type="dxa"/>
          </w:tcPr>
          <w:p w:rsidR="003636CC" w:rsidRPr="00810B4F" w:rsidRDefault="003636CC" w:rsidP="00E738F0">
            <w:pPr>
              <w:cnfStyle w:val="000000000000"/>
              <w:rPr>
                <w:sz w:val="22"/>
                <w:szCs w:val="22"/>
              </w:rPr>
            </w:pPr>
            <w:r w:rsidRPr="00810B4F">
              <w:rPr>
                <w:sz w:val="22"/>
                <w:szCs w:val="22"/>
              </w:rPr>
              <w:t>Excluded</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26</w:t>
            </w:r>
          </w:p>
        </w:tc>
        <w:tc>
          <w:tcPr>
            <w:tcW w:w="0" w:type="auto"/>
          </w:tcPr>
          <w:p w:rsidR="003636CC" w:rsidRPr="00810B4F" w:rsidRDefault="003636CC" w:rsidP="00E738F0">
            <w:pPr>
              <w:cnfStyle w:val="000000000000"/>
              <w:rPr>
                <w:color w:val="000000"/>
                <w:sz w:val="22"/>
                <w:szCs w:val="22"/>
              </w:rPr>
            </w:pPr>
            <w:r w:rsidRPr="00810B4F">
              <w:rPr>
                <w:color w:val="000000"/>
                <w:sz w:val="22"/>
                <w:szCs w:val="22"/>
              </w:rPr>
              <w:t>18 (69)</w:t>
            </w:r>
          </w:p>
        </w:tc>
        <w:tc>
          <w:tcPr>
            <w:tcW w:w="1418" w:type="dxa"/>
          </w:tcPr>
          <w:p w:rsidR="003636CC" w:rsidRPr="00810B4F" w:rsidRDefault="003636CC" w:rsidP="00E738F0">
            <w:pPr>
              <w:cnfStyle w:val="000000000000"/>
              <w:rPr>
                <w:color w:val="000000"/>
                <w:sz w:val="22"/>
                <w:szCs w:val="22"/>
              </w:rPr>
            </w:pPr>
            <w:r w:rsidRPr="00810B4F">
              <w:rPr>
                <w:color w:val="000000"/>
                <w:sz w:val="22"/>
                <w:szCs w:val="22"/>
              </w:rPr>
              <w:t>13 (72)</w:t>
            </w:r>
          </w:p>
        </w:tc>
        <w:tc>
          <w:tcPr>
            <w:tcW w:w="1779" w:type="dxa"/>
          </w:tcPr>
          <w:p w:rsidR="003636CC" w:rsidRPr="00810B4F" w:rsidRDefault="003636CC" w:rsidP="00E738F0">
            <w:pPr>
              <w:cnfStyle w:val="000000000000"/>
              <w:rPr>
                <w:b/>
                <w:bCs/>
                <w:color w:val="000000"/>
                <w:sz w:val="22"/>
                <w:szCs w:val="22"/>
              </w:rPr>
            </w:pPr>
            <w:r w:rsidRPr="00810B4F">
              <w:rPr>
                <w:b/>
                <w:bCs/>
                <w:color w:val="000000"/>
                <w:sz w:val="22"/>
                <w:szCs w:val="22"/>
              </w:rPr>
              <w:t>3.87 (1.37-10.96)</w:t>
            </w:r>
          </w:p>
        </w:tc>
        <w:tc>
          <w:tcPr>
            <w:tcW w:w="0" w:type="auto"/>
          </w:tcPr>
          <w:p w:rsidR="003636CC" w:rsidRPr="00810B4F" w:rsidRDefault="003636CC" w:rsidP="00E738F0">
            <w:pPr>
              <w:cnfStyle w:val="000000000000"/>
              <w:rPr>
                <w:b/>
                <w:bCs/>
                <w:color w:val="000000"/>
                <w:sz w:val="22"/>
                <w:szCs w:val="22"/>
              </w:rPr>
            </w:pPr>
            <w:r w:rsidRPr="00810B4F">
              <w:rPr>
                <w:b/>
                <w:bCs/>
                <w:color w:val="000000"/>
                <w:sz w:val="22"/>
                <w:szCs w:val="22"/>
              </w:rPr>
              <w:t>0.011</w:t>
            </w:r>
          </w:p>
        </w:tc>
      </w:tr>
    </w:tbl>
    <w:p w:rsidR="003636CC" w:rsidRPr="00515D12" w:rsidRDefault="003636CC" w:rsidP="003636CC">
      <w:proofErr w:type="spellStart"/>
      <w:proofErr w:type="gramStart"/>
      <w:r w:rsidRPr="000D3FDE">
        <w:rPr>
          <w:vertAlign w:val="superscript"/>
        </w:rPr>
        <w:t>a</w:t>
      </w:r>
      <w:r w:rsidRPr="000D3FDE">
        <w:t>In</w:t>
      </w:r>
      <w:proofErr w:type="spellEnd"/>
      <w:proofErr w:type="gramEnd"/>
      <w:r w:rsidRPr="000D3FDE">
        <w:t xml:space="preserve"> the main analysis (Table 4), participants with only one undetectable HCV RNA as their last measurement were included, but not considered to have achieved spontaneous HCV clearance and were censored at the last HCV RNA test. However, because these participants may have achieved spontaneous clearance, a sensitivity analysis was also undertaken with these participants excluded.</w:t>
      </w:r>
      <w:r w:rsidRPr="00515D12">
        <w:t xml:space="preserve"> </w:t>
      </w:r>
    </w:p>
    <w:p w:rsidR="003636CC" w:rsidRDefault="003636CC" w:rsidP="003636CC">
      <w:pPr>
        <w:spacing w:after="0"/>
      </w:pPr>
      <w:proofErr w:type="spellStart"/>
      <w:proofErr w:type="gramStart"/>
      <w:r>
        <w:rPr>
          <w:vertAlign w:val="superscript"/>
        </w:rPr>
        <w:t>b</w:t>
      </w:r>
      <w:r>
        <w:t>Controlled</w:t>
      </w:r>
      <w:proofErr w:type="spellEnd"/>
      <w:proofErr w:type="gramEnd"/>
      <w:r>
        <w:t xml:space="preserve"> for infection number, as required by the gap-time unrestricted proportional hazards regression methodology.</w:t>
      </w:r>
    </w:p>
    <w:p w:rsidR="003636CC" w:rsidRDefault="003636CC" w:rsidP="003636CC">
      <w:pPr>
        <w:rPr>
          <w:b/>
          <w:color w:val="000000"/>
        </w:rPr>
      </w:pPr>
    </w:p>
    <w:sectPr w:rsidR="003636CC" w:rsidSect="003636C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36CC"/>
    <w:rsid w:val="002679EF"/>
    <w:rsid w:val="003636CC"/>
    <w:rsid w:val="0047736A"/>
    <w:rsid w:val="00810B4F"/>
    <w:rsid w:val="009D3E58"/>
    <w:rsid w:val="00AA7935"/>
    <w:rsid w:val="00CE1CF1"/>
    <w:rsid w:val="00D11930"/>
  </w:rsids>
  <m:mathPr>
    <m:mathFont m:val="Cambria Math"/>
    <m:brkBin m:val="before"/>
    <m:brkBinSub m:val="--"/>
    <m:smallFrac m:val="off"/>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CC"/>
    <w:rPr>
      <w:rFonts w:ascii="Calibri" w:eastAsia="Times New Roman"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636CC"/>
    <w:pPr>
      <w:spacing w:after="0" w:line="240" w:lineRule="auto"/>
    </w:pPr>
    <w:rPr>
      <w:rFonts w:ascii="Calibri" w:eastAsia="Times New Roman" w:hAnsi="Calibri" w:cs="Times New Roman"/>
      <w:color w:val="000000" w:themeColor="text1" w:themeShade="BF"/>
      <w:sz w:val="20"/>
      <w:szCs w:val="20"/>
      <w:lang w:eastAsia="en-AU"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Company>Burnet Institute</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dcterms:created xsi:type="dcterms:W3CDTF">2013-10-13T23:26:00Z</dcterms:created>
  <dcterms:modified xsi:type="dcterms:W3CDTF">2013-10-13T23:40:00Z</dcterms:modified>
</cp:coreProperties>
</file>