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1A9C" w14:textId="77777777" w:rsidR="008D56A3" w:rsidRPr="00134495" w:rsidRDefault="008D56A3" w:rsidP="008D56A3">
      <w:pPr>
        <w:spacing w:line="480" w:lineRule="auto"/>
        <w:jc w:val="center"/>
        <w:rPr>
          <w:rFonts w:asciiTheme="majorHAnsi" w:hAnsiTheme="majorHAnsi"/>
          <w:sz w:val="22"/>
          <w:szCs w:val="26"/>
        </w:rPr>
      </w:pPr>
      <w:r w:rsidRPr="00134495">
        <w:rPr>
          <w:rFonts w:asciiTheme="majorHAnsi" w:hAnsiTheme="majorHAnsi"/>
          <w:sz w:val="22"/>
          <w:szCs w:val="26"/>
        </w:rPr>
        <w:t>Supplementary information for:</w:t>
      </w:r>
    </w:p>
    <w:p w14:paraId="22E5B43C" w14:textId="77777777" w:rsidR="008D56A3" w:rsidRPr="00134495" w:rsidRDefault="008D56A3" w:rsidP="008D56A3">
      <w:pPr>
        <w:spacing w:line="480" w:lineRule="auto"/>
        <w:jc w:val="center"/>
        <w:rPr>
          <w:rFonts w:asciiTheme="majorHAnsi" w:hAnsiTheme="majorHAnsi"/>
          <w:b/>
          <w:sz w:val="26"/>
          <w:szCs w:val="26"/>
        </w:rPr>
      </w:pPr>
      <w:r w:rsidRPr="00134495">
        <w:rPr>
          <w:rFonts w:asciiTheme="majorHAnsi" w:hAnsiTheme="majorHAnsi"/>
          <w:b/>
          <w:sz w:val="26"/>
          <w:szCs w:val="26"/>
        </w:rPr>
        <w:t xml:space="preserve">Monitoring of dynamic microbiological processes using real-time flow </w:t>
      </w:r>
      <w:proofErr w:type="spellStart"/>
      <w:r w:rsidRPr="00134495">
        <w:rPr>
          <w:rFonts w:asciiTheme="majorHAnsi" w:hAnsiTheme="majorHAnsi"/>
          <w:b/>
          <w:sz w:val="26"/>
          <w:szCs w:val="26"/>
        </w:rPr>
        <w:t>cytometry</w:t>
      </w:r>
      <w:proofErr w:type="spellEnd"/>
    </w:p>
    <w:p w14:paraId="614029E0" w14:textId="77777777" w:rsidR="008D56A3" w:rsidRPr="00134495" w:rsidRDefault="008D56A3" w:rsidP="008D56A3">
      <w:pPr>
        <w:spacing w:line="480" w:lineRule="auto"/>
        <w:jc w:val="center"/>
        <w:rPr>
          <w:rFonts w:asciiTheme="majorHAnsi" w:hAnsiTheme="majorHAnsi"/>
          <w:sz w:val="22"/>
          <w:szCs w:val="22"/>
        </w:rPr>
      </w:pPr>
      <w:r w:rsidRPr="00134495">
        <w:rPr>
          <w:rFonts w:asciiTheme="majorHAnsi" w:hAnsiTheme="majorHAnsi"/>
          <w:sz w:val="22"/>
          <w:szCs w:val="22"/>
        </w:rPr>
        <w:t xml:space="preserve">Markus </w:t>
      </w:r>
      <w:proofErr w:type="spellStart"/>
      <w:r w:rsidRPr="00134495">
        <w:rPr>
          <w:rFonts w:asciiTheme="majorHAnsi" w:hAnsiTheme="majorHAnsi"/>
          <w:sz w:val="22"/>
          <w:szCs w:val="22"/>
        </w:rPr>
        <w:t>Arnoldini</w:t>
      </w:r>
      <w:proofErr w:type="spellEnd"/>
      <w:r w:rsidRPr="00134495">
        <w:rPr>
          <w:rFonts w:asciiTheme="majorHAnsi" w:hAnsiTheme="majorHAnsi"/>
          <w:sz w:val="22"/>
          <w:szCs w:val="22"/>
        </w:rPr>
        <w:t>, Tobias Heck, Alfonso Blanco-</w:t>
      </w:r>
      <w:proofErr w:type="spellStart"/>
      <w:r w:rsidRPr="00134495">
        <w:rPr>
          <w:rFonts w:asciiTheme="majorHAnsi" w:hAnsiTheme="majorHAnsi"/>
          <w:sz w:val="22"/>
          <w:szCs w:val="22"/>
        </w:rPr>
        <w:t>Fernández</w:t>
      </w:r>
      <w:proofErr w:type="spellEnd"/>
      <w:r w:rsidRPr="00134495">
        <w:rPr>
          <w:rFonts w:asciiTheme="majorHAnsi" w:hAnsiTheme="majorHAnsi"/>
          <w:sz w:val="22"/>
          <w:szCs w:val="22"/>
        </w:rPr>
        <w:t xml:space="preserve"> &amp; Frederik </w:t>
      </w:r>
      <w:proofErr w:type="spellStart"/>
      <w:r w:rsidRPr="00134495">
        <w:rPr>
          <w:rFonts w:asciiTheme="majorHAnsi" w:hAnsiTheme="majorHAnsi"/>
          <w:sz w:val="22"/>
          <w:szCs w:val="22"/>
        </w:rPr>
        <w:t>Hammes</w:t>
      </w:r>
      <w:proofErr w:type="spellEnd"/>
    </w:p>
    <w:p w14:paraId="4E140DCA" w14:textId="77777777" w:rsidR="00403AC8" w:rsidRDefault="00403AC8" w:rsidP="00403AC8">
      <w:pPr>
        <w:rPr>
          <w:rFonts w:asciiTheme="majorHAnsi" w:hAnsiTheme="majorHAnsi"/>
          <w:b/>
          <w:sz w:val="22"/>
          <w:szCs w:val="22"/>
        </w:rPr>
      </w:pPr>
    </w:p>
    <w:p w14:paraId="2C6D44E8" w14:textId="7261DE10" w:rsidR="00395AD3" w:rsidRPr="008D56A3" w:rsidRDefault="00505E3E" w:rsidP="00403AC8">
      <w:pPr>
        <w:rPr>
          <w:rFonts w:asciiTheme="majorHAnsi" w:hAnsiTheme="majorHAnsi"/>
          <w:b/>
          <w:sz w:val="22"/>
          <w:szCs w:val="22"/>
        </w:rPr>
      </w:pPr>
      <w:r w:rsidRPr="008D56A3">
        <w:rPr>
          <w:rFonts w:asciiTheme="majorHAnsi" w:hAnsiTheme="majorHAnsi"/>
          <w:b/>
          <w:sz w:val="22"/>
          <w:szCs w:val="22"/>
        </w:rPr>
        <w:t>RT-FCM gating strategy</w:t>
      </w:r>
    </w:p>
    <w:p w14:paraId="2F910A4B" w14:textId="77777777" w:rsidR="00403AC8" w:rsidRDefault="00403AC8" w:rsidP="00505E3E">
      <w:pPr>
        <w:spacing w:line="360" w:lineRule="auto"/>
        <w:jc w:val="both"/>
        <w:rPr>
          <w:rFonts w:asciiTheme="majorHAnsi" w:hAnsiTheme="majorHAnsi"/>
          <w:b/>
          <w:sz w:val="22"/>
          <w:szCs w:val="22"/>
        </w:rPr>
      </w:pPr>
    </w:p>
    <w:p w14:paraId="76F95424" w14:textId="77777777" w:rsidR="00505E3E" w:rsidRPr="008D56A3" w:rsidRDefault="00505E3E" w:rsidP="00505E3E">
      <w:pPr>
        <w:spacing w:line="360" w:lineRule="auto"/>
        <w:jc w:val="both"/>
        <w:rPr>
          <w:rFonts w:asciiTheme="majorHAnsi" w:hAnsiTheme="majorHAnsi"/>
          <w:b/>
          <w:sz w:val="22"/>
          <w:szCs w:val="22"/>
        </w:rPr>
      </w:pPr>
      <w:r w:rsidRPr="008D56A3">
        <w:rPr>
          <w:rFonts w:asciiTheme="majorHAnsi" w:hAnsiTheme="majorHAnsi"/>
          <w:b/>
          <w:sz w:val="22"/>
          <w:szCs w:val="22"/>
        </w:rPr>
        <w:t>Example: Heat induced membrane damage</w:t>
      </w:r>
      <w:r w:rsidR="00D027A8" w:rsidRPr="008D56A3">
        <w:rPr>
          <w:rFonts w:asciiTheme="majorHAnsi" w:hAnsiTheme="majorHAnsi"/>
          <w:b/>
          <w:sz w:val="22"/>
          <w:szCs w:val="22"/>
        </w:rPr>
        <w:t xml:space="preserve"> (Figure 2 in manuscript)</w:t>
      </w:r>
    </w:p>
    <w:p w14:paraId="52C51556" w14:textId="03FE3B4C" w:rsidR="00505E3E" w:rsidRPr="00505E3E" w:rsidRDefault="00505E3E" w:rsidP="00403AC8">
      <w:pPr>
        <w:pStyle w:val="ListParagraph"/>
        <w:numPr>
          <w:ilvl w:val="0"/>
          <w:numId w:val="1"/>
        </w:numPr>
        <w:spacing w:line="360" w:lineRule="auto"/>
        <w:jc w:val="both"/>
        <w:rPr>
          <w:rFonts w:asciiTheme="majorHAnsi" w:hAnsiTheme="majorHAnsi"/>
          <w:sz w:val="22"/>
          <w:szCs w:val="22"/>
        </w:rPr>
      </w:pPr>
      <w:r w:rsidRPr="00505E3E">
        <w:rPr>
          <w:rFonts w:asciiTheme="majorHAnsi" w:hAnsiTheme="majorHAnsi"/>
          <w:sz w:val="22"/>
          <w:szCs w:val="22"/>
        </w:rPr>
        <w:t xml:space="preserve">A main (trigger) parameter </w:t>
      </w:r>
      <w:r>
        <w:rPr>
          <w:rFonts w:asciiTheme="majorHAnsi" w:hAnsiTheme="majorHAnsi"/>
          <w:sz w:val="22"/>
          <w:szCs w:val="22"/>
        </w:rPr>
        <w:t xml:space="preserve">for the experiment </w:t>
      </w:r>
      <w:r w:rsidRPr="00505E3E">
        <w:rPr>
          <w:rFonts w:asciiTheme="majorHAnsi" w:hAnsiTheme="majorHAnsi"/>
          <w:sz w:val="22"/>
          <w:szCs w:val="22"/>
        </w:rPr>
        <w:t xml:space="preserve">is selected and a threshold value is applied to this parameter to enable detection of the sample. In this case, the parameter was green fluorescence (FL1) and a threshold </w:t>
      </w:r>
      <w:r w:rsidR="00A33005">
        <w:rPr>
          <w:rFonts w:asciiTheme="majorHAnsi" w:hAnsiTheme="majorHAnsi"/>
          <w:sz w:val="22"/>
          <w:szCs w:val="22"/>
        </w:rPr>
        <w:t>value was applied</w:t>
      </w:r>
      <w:r w:rsidRPr="00505E3E">
        <w:rPr>
          <w:rFonts w:asciiTheme="majorHAnsi" w:hAnsiTheme="majorHAnsi"/>
          <w:sz w:val="22"/>
          <w:szCs w:val="22"/>
        </w:rPr>
        <w:t xml:space="preserve"> based on experience with this specific type of sample.</w:t>
      </w:r>
      <w:r>
        <w:rPr>
          <w:rFonts w:asciiTheme="majorHAnsi" w:hAnsiTheme="majorHAnsi"/>
          <w:sz w:val="22"/>
          <w:szCs w:val="22"/>
        </w:rPr>
        <w:t xml:space="preserve"> </w:t>
      </w:r>
      <w:r w:rsidR="00531D52">
        <w:rPr>
          <w:rFonts w:asciiTheme="majorHAnsi" w:hAnsiTheme="majorHAnsi"/>
          <w:b/>
          <w:sz w:val="22"/>
          <w:szCs w:val="22"/>
        </w:rPr>
        <w:t>Figure S1</w:t>
      </w:r>
      <w:r w:rsidRPr="005758E7">
        <w:rPr>
          <w:rFonts w:asciiTheme="majorHAnsi" w:hAnsiTheme="majorHAnsi"/>
          <w:b/>
          <w:sz w:val="22"/>
          <w:szCs w:val="22"/>
        </w:rPr>
        <w:t>A</w:t>
      </w:r>
      <w:r>
        <w:rPr>
          <w:rFonts w:asciiTheme="majorHAnsi" w:hAnsiTheme="majorHAnsi"/>
          <w:sz w:val="22"/>
          <w:szCs w:val="22"/>
        </w:rPr>
        <w:t xml:space="preserve"> shows a density plot of the sample at the beginning of the experiment, with blank space on the left indicating the threshold value. </w:t>
      </w:r>
    </w:p>
    <w:p w14:paraId="6DD0638C" w14:textId="5E37F93E" w:rsidR="00505E3E" w:rsidRDefault="00505E3E" w:rsidP="00403AC8">
      <w:pPr>
        <w:pStyle w:val="ListParagraph"/>
        <w:numPr>
          <w:ilvl w:val="0"/>
          <w:numId w:val="1"/>
        </w:numPr>
        <w:spacing w:line="360" w:lineRule="auto"/>
        <w:jc w:val="both"/>
        <w:rPr>
          <w:rFonts w:asciiTheme="majorHAnsi" w:hAnsiTheme="majorHAnsi"/>
          <w:sz w:val="22"/>
          <w:szCs w:val="22"/>
        </w:rPr>
      </w:pPr>
      <w:r w:rsidRPr="00505E3E">
        <w:rPr>
          <w:rFonts w:asciiTheme="majorHAnsi" w:hAnsiTheme="majorHAnsi"/>
          <w:sz w:val="22"/>
          <w:szCs w:val="22"/>
        </w:rPr>
        <w:t xml:space="preserve"> </w:t>
      </w:r>
      <w:r>
        <w:rPr>
          <w:rFonts w:asciiTheme="majorHAnsi" w:hAnsiTheme="majorHAnsi"/>
          <w:sz w:val="22"/>
          <w:szCs w:val="22"/>
        </w:rPr>
        <w:t xml:space="preserve">Additional gates are prepared, based on the requirements of the specific experiment. In this example, </w:t>
      </w:r>
      <w:r w:rsidR="00531D52">
        <w:rPr>
          <w:rFonts w:asciiTheme="majorHAnsi" w:hAnsiTheme="majorHAnsi"/>
          <w:b/>
          <w:sz w:val="22"/>
          <w:szCs w:val="22"/>
        </w:rPr>
        <w:t>Figure S1</w:t>
      </w:r>
      <w:r w:rsidRPr="005758E7">
        <w:rPr>
          <w:rFonts w:asciiTheme="majorHAnsi" w:hAnsiTheme="majorHAnsi"/>
          <w:b/>
          <w:sz w:val="22"/>
          <w:szCs w:val="22"/>
        </w:rPr>
        <w:t>B</w:t>
      </w:r>
      <w:r>
        <w:rPr>
          <w:rFonts w:asciiTheme="majorHAnsi" w:hAnsiTheme="majorHAnsi"/>
          <w:sz w:val="22"/>
          <w:szCs w:val="22"/>
        </w:rPr>
        <w:t xml:space="preserve"> show gates for all of the “intact” cells (P1) as well as the fraction of high nucleic acid (HNA) content bacteria (P2) and low nucleic acid (LNA) content bacteria (P3). </w:t>
      </w:r>
      <w:r w:rsidR="005758E7">
        <w:rPr>
          <w:rFonts w:asciiTheme="majorHAnsi" w:hAnsiTheme="majorHAnsi"/>
          <w:sz w:val="22"/>
          <w:szCs w:val="22"/>
        </w:rPr>
        <w:t xml:space="preserve">The researcher, based on experience and controls, draws these gates manually. For this specific example, see </w:t>
      </w:r>
      <w:proofErr w:type="spellStart"/>
      <w:r w:rsidR="005758E7">
        <w:rPr>
          <w:rFonts w:asciiTheme="majorHAnsi" w:hAnsiTheme="majorHAnsi"/>
          <w:sz w:val="22"/>
          <w:szCs w:val="22"/>
        </w:rPr>
        <w:t>Prest</w:t>
      </w:r>
      <w:proofErr w:type="spellEnd"/>
      <w:r w:rsidR="005758E7">
        <w:rPr>
          <w:rFonts w:asciiTheme="majorHAnsi" w:hAnsiTheme="majorHAnsi"/>
          <w:sz w:val="22"/>
          <w:szCs w:val="22"/>
        </w:rPr>
        <w:t xml:space="preserve"> et al. (2013), </w:t>
      </w:r>
      <w:proofErr w:type="spellStart"/>
      <w:r w:rsidR="005758E7">
        <w:rPr>
          <w:rFonts w:asciiTheme="majorHAnsi" w:hAnsiTheme="majorHAnsi"/>
          <w:sz w:val="22"/>
          <w:szCs w:val="22"/>
        </w:rPr>
        <w:t>Berney</w:t>
      </w:r>
      <w:proofErr w:type="spellEnd"/>
      <w:r w:rsidR="005758E7">
        <w:rPr>
          <w:rFonts w:asciiTheme="majorHAnsi" w:hAnsiTheme="majorHAnsi"/>
          <w:sz w:val="22"/>
          <w:szCs w:val="22"/>
        </w:rPr>
        <w:t xml:space="preserve"> et al. (2007) and </w:t>
      </w:r>
      <w:proofErr w:type="spellStart"/>
      <w:r w:rsidR="005758E7">
        <w:rPr>
          <w:rFonts w:asciiTheme="majorHAnsi" w:hAnsiTheme="majorHAnsi"/>
          <w:sz w:val="22"/>
          <w:szCs w:val="22"/>
        </w:rPr>
        <w:t>Ramseier</w:t>
      </w:r>
      <w:proofErr w:type="spellEnd"/>
      <w:r w:rsidR="005758E7">
        <w:rPr>
          <w:rFonts w:asciiTheme="majorHAnsi" w:hAnsiTheme="majorHAnsi"/>
          <w:sz w:val="22"/>
          <w:szCs w:val="22"/>
        </w:rPr>
        <w:t xml:space="preserve"> et al. (2011) and </w:t>
      </w:r>
      <w:proofErr w:type="spellStart"/>
      <w:r w:rsidR="005758E7">
        <w:rPr>
          <w:rFonts w:asciiTheme="majorHAnsi" w:hAnsiTheme="majorHAnsi"/>
          <w:sz w:val="22"/>
          <w:szCs w:val="22"/>
        </w:rPr>
        <w:t>Hammes</w:t>
      </w:r>
      <w:proofErr w:type="spellEnd"/>
      <w:r w:rsidR="005758E7">
        <w:rPr>
          <w:rFonts w:asciiTheme="majorHAnsi" w:hAnsiTheme="majorHAnsi"/>
          <w:sz w:val="22"/>
          <w:szCs w:val="22"/>
        </w:rPr>
        <w:t xml:space="preserve"> et al. (2012) for more information on the gating strategy.</w:t>
      </w:r>
    </w:p>
    <w:p w14:paraId="6E87F3DC" w14:textId="50CF24BD" w:rsidR="005758E7" w:rsidRDefault="005758E7" w:rsidP="00403AC8">
      <w:pPr>
        <w:pStyle w:val="ListParagraph"/>
        <w:numPr>
          <w:ilvl w:val="0"/>
          <w:numId w:val="1"/>
        </w:numPr>
        <w:spacing w:line="360" w:lineRule="auto"/>
        <w:jc w:val="both"/>
        <w:rPr>
          <w:rFonts w:asciiTheme="majorHAnsi" w:hAnsiTheme="majorHAnsi"/>
          <w:sz w:val="22"/>
          <w:szCs w:val="22"/>
        </w:rPr>
      </w:pPr>
      <w:r>
        <w:rPr>
          <w:rFonts w:asciiTheme="majorHAnsi" w:hAnsiTheme="majorHAnsi"/>
          <w:sz w:val="22"/>
          <w:szCs w:val="22"/>
        </w:rPr>
        <w:t xml:space="preserve">The RT-FCM experiment is then performed for a selected time period, and the main parameter is plotted in a density plot against time. </w:t>
      </w:r>
      <w:r w:rsidR="00531D52">
        <w:rPr>
          <w:rFonts w:asciiTheme="majorHAnsi" w:hAnsiTheme="majorHAnsi"/>
          <w:b/>
          <w:sz w:val="22"/>
          <w:szCs w:val="22"/>
        </w:rPr>
        <w:t>Figure S1</w:t>
      </w:r>
      <w:r w:rsidRPr="005758E7">
        <w:rPr>
          <w:rFonts w:asciiTheme="majorHAnsi" w:hAnsiTheme="majorHAnsi"/>
          <w:b/>
          <w:sz w:val="22"/>
          <w:szCs w:val="22"/>
        </w:rPr>
        <w:t>C</w:t>
      </w:r>
      <w:r>
        <w:rPr>
          <w:rFonts w:asciiTheme="majorHAnsi" w:hAnsiTheme="majorHAnsi"/>
          <w:sz w:val="22"/>
          <w:szCs w:val="22"/>
        </w:rPr>
        <w:t xml:space="preserve"> shows the time period of 1 hour and green fluorescence intensity (FL1). Note that this is un-gated raw data, </w:t>
      </w:r>
      <w:r w:rsidR="00A33005">
        <w:rPr>
          <w:rFonts w:asciiTheme="majorHAnsi" w:hAnsiTheme="majorHAnsi"/>
          <w:sz w:val="22"/>
          <w:szCs w:val="22"/>
        </w:rPr>
        <w:t>that the RT-FCM data is not restricted to the main parameter (FL1), but can be applied to all FCM parameters</w:t>
      </w:r>
      <w:r>
        <w:rPr>
          <w:rFonts w:asciiTheme="majorHAnsi" w:hAnsiTheme="majorHAnsi"/>
          <w:sz w:val="22"/>
          <w:szCs w:val="22"/>
        </w:rPr>
        <w:t>.</w:t>
      </w:r>
    </w:p>
    <w:p w14:paraId="70A31E74" w14:textId="3328FF80" w:rsidR="005758E7" w:rsidRDefault="005758E7" w:rsidP="00403AC8">
      <w:pPr>
        <w:pStyle w:val="ListParagraph"/>
        <w:numPr>
          <w:ilvl w:val="0"/>
          <w:numId w:val="1"/>
        </w:numPr>
        <w:spacing w:line="360" w:lineRule="auto"/>
        <w:jc w:val="both"/>
        <w:rPr>
          <w:rFonts w:asciiTheme="majorHAnsi" w:hAnsiTheme="majorHAnsi"/>
          <w:sz w:val="22"/>
          <w:szCs w:val="22"/>
        </w:rPr>
      </w:pPr>
      <w:r>
        <w:rPr>
          <w:rFonts w:asciiTheme="majorHAnsi" w:hAnsiTheme="majorHAnsi"/>
          <w:sz w:val="22"/>
          <w:szCs w:val="22"/>
        </w:rPr>
        <w:t xml:space="preserve">After the experiment, selected gates are applied to the raw data set to assess specific clusters or groups of interest. </w:t>
      </w:r>
      <w:r w:rsidR="00531D52">
        <w:rPr>
          <w:rFonts w:asciiTheme="majorHAnsi" w:hAnsiTheme="majorHAnsi"/>
          <w:b/>
          <w:sz w:val="22"/>
          <w:szCs w:val="22"/>
        </w:rPr>
        <w:t>Figure S1</w:t>
      </w:r>
      <w:r w:rsidRPr="005758E7">
        <w:rPr>
          <w:rFonts w:asciiTheme="majorHAnsi" w:hAnsiTheme="majorHAnsi"/>
          <w:b/>
          <w:sz w:val="22"/>
          <w:szCs w:val="22"/>
        </w:rPr>
        <w:t>D</w:t>
      </w:r>
      <w:r>
        <w:rPr>
          <w:rFonts w:asciiTheme="majorHAnsi" w:hAnsiTheme="majorHAnsi"/>
          <w:sz w:val="22"/>
          <w:szCs w:val="22"/>
        </w:rPr>
        <w:t xml:space="preserve"> shows the RT-FCM data for all “intact cells” (from gate P1), </w:t>
      </w:r>
      <w:r w:rsidRPr="005758E7">
        <w:rPr>
          <w:rFonts w:asciiTheme="majorHAnsi" w:hAnsiTheme="majorHAnsi"/>
          <w:b/>
          <w:sz w:val="22"/>
          <w:szCs w:val="22"/>
        </w:rPr>
        <w:t>Figure S</w:t>
      </w:r>
      <w:r w:rsidR="00531D52">
        <w:rPr>
          <w:rFonts w:asciiTheme="majorHAnsi" w:hAnsiTheme="majorHAnsi"/>
          <w:b/>
          <w:sz w:val="22"/>
          <w:szCs w:val="22"/>
        </w:rPr>
        <w:t>1</w:t>
      </w:r>
      <w:r w:rsidRPr="005758E7">
        <w:rPr>
          <w:rFonts w:asciiTheme="majorHAnsi" w:hAnsiTheme="majorHAnsi"/>
          <w:b/>
          <w:sz w:val="22"/>
          <w:szCs w:val="22"/>
        </w:rPr>
        <w:t>E</w:t>
      </w:r>
      <w:r>
        <w:rPr>
          <w:rFonts w:asciiTheme="majorHAnsi" w:hAnsiTheme="majorHAnsi"/>
          <w:sz w:val="22"/>
          <w:szCs w:val="22"/>
        </w:rPr>
        <w:t xml:space="preserve"> shows the data for “intact LNA cells” (from gate P3), and </w:t>
      </w:r>
      <w:r w:rsidR="00531D52">
        <w:rPr>
          <w:rFonts w:asciiTheme="majorHAnsi" w:hAnsiTheme="majorHAnsi"/>
          <w:b/>
          <w:sz w:val="22"/>
          <w:szCs w:val="22"/>
        </w:rPr>
        <w:t>Figure S1</w:t>
      </w:r>
      <w:r w:rsidRPr="005758E7">
        <w:rPr>
          <w:rFonts w:asciiTheme="majorHAnsi" w:hAnsiTheme="majorHAnsi"/>
          <w:b/>
          <w:sz w:val="22"/>
          <w:szCs w:val="22"/>
        </w:rPr>
        <w:t>F</w:t>
      </w:r>
      <w:r>
        <w:rPr>
          <w:rFonts w:asciiTheme="majorHAnsi" w:hAnsiTheme="majorHAnsi"/>
          <w:sz w:val="22"/>
          <w:szCs w:val="22"/>
        </w:rPr>
        <w:t xml:space="preserve"> shows the data for “intact HNA cells” (from gate P2). Again, this is not restricted to one parameter or limited gates.</w:t>
      </w:r>
    </w:p>
    <w:p w14:paraId="3CD438C2" w14:textId="499ED942" w:rsidR="00D027A8" w:rsidRDefault="00D027A8" w:rsidP="00403AC8">
      <w:pPr>
        <w:pStyle w:val="ListParagraph"/>
        <w:numPr>
          <w:ilvl w:val="0"/>
          <w:numId w:val="1"/>
        </w:numPr>
        <w:spacing w:line="360" w:lineRule="auto"/>
        <w:jc w:val="both"/>
        <w:rPr>
          <w:rFonts w:asciiTheme="majorHAnsi" w:hAnsiTheme="majorHAnsi"/>
          <w:sz w:val="22"/>
          <w:szCs w:val="22"/>
        </w:rPr>
      </w:pPr>
      <w:r>
        <w:rPr>
          <w:rFonts w:asciiTheme="majorHAnsi" w:hAnsiTheme="majorHAnsi"/>
          <w:sz w:val="22"/>
          <w:szCs w:val="22"/>
        </w:rPr>
        <w:t>The entire</w:t>
      </w:r>
      <w:r w:rsidR="00DF56A4">
        <w:rPr>
          <w:rFonts w:asciiTheme="majorHAnsi" w:hAnsiTheme="majorHAnsi"/>
          <w:sz w:val="22"/>
          <w:szCs w:val="22"/>
        </w:rPr>
        <w:t xml:space="preserve"> RT-FCM data </w:t>
      </w:r>
      <w:r>
        <w:rPr>
          <w:rFonts w:asciiTheme="majorHAnsi" w:hAnsiTheme="majorHAnsi"/>
          <w:sz w:val="22"/>
          <w:szCs w:val="22"/>
        </w:rPr>
        <w:t>set is</w:t>
      </w:r>
      <w:r w:rsidR="00DF56A4">
        <w:rPr>
          <w:rFonts w:asciiTheme="majorHAnsi" w:hAnsiTheme="majorHAnsi"/>
          <w:sz w:val="22"/>
          <w:szCs w:val="22"/>
        </w:rPr>
        <w:t xml:space="preserve"> then gated on the parameter </w:t>
      </w:r>
      <w:proofErr w:type="spellStart"/>
      <w:r w:rsidR="00DF56A4">
        <w:rPr>
          <w:rFonts w:asciiTheme="majorHAnsi" w:hAnsiTheme="majorHAnsi"/>
          <w:sz w:val="22"/>
          <w:szCs w:val="22"/>
        </w:rPr>
        <w:t>vs</w:t>
      </w:r>
      <w:proofErr w:type="spellEnd"/>
      <w:r w:rsidR="00DF56A4">
        <w:rPr>
          <w:rFonts w:asciiTheme="majorHAnsi" w:hAnsiTheme="majorHAnsi"/>
          <w:sz w:val="22"/>
          <w:szCs w:val="22"/>
        </w:rPr>
        <w:t xml:space="preserve"> t</w:t>
      </w:r>
      <w:r>
        <w:rPr>
          <w:rFonts w:asciiTheme="majorHAnsi" w:hAnsiTheme="majorHAnsi"/>
          <w:sz w:val="22"/>
          <w:szCs w:val="22"/>
        </w:rPr>
        <w:t xml:space="preserve">ime plot. In our experiments we selected for a resolution of 1-minute gate widths, </w:t>
      </w:r>
      <w:r w:rsidR="007264D4">
        <w:rPr>
          <w:rFonts w:asciiTheme="majorHAnsi" w:hAnsiTheme="majorHAnsi"/>
          <w:sz w:val="22"/>
          <w:szCs w:val="22"/>
        </w:rPr>
        <w:t>illustrated</w:t>
      </w:r>
      <w:r>
        <w:rPr>
          <w:rFonts w:asciiTheme="majorHAnsi" w:hAnsiTheme="majorHAnsi"/>
          <w:sz w:val="22"/>
          <w:szCs w:val="22"/>
        </w:rPr>
        <w:t xml:space="preserve"> in </w:t>
      </w:r>
      <w:r w:rsidR="00531D52">
        <w:rPr>
          <w:rFonts w:asciiTheme="majorHAnsi" w:hAnsiTheme="majorHAnsi"/>
          <w:b/>
          <w:sz w:val="22"/>
          <w:szCs w:val="22"/>
        </w:rPr>
        <w:t>Figures S1</w:t>
      </w:r>
      <w:r w:rsidRPr="00D027A8">
        <w:rPr>
          <w:rFonts w:asciiTheme="majorHAnsi" w:hAnsiTheme="majorHAnsi"/>
          <w:b/>
          <w:sz w:val="22"/>
          <w:szCs w:val="22"/>
        </w:rPr>
        <w:t>G-I</w:t>
      </w:r>
      <w:r>
        <w:rPr>
          <w:rFonts w:asciiTheme="majorHAnsi" w:hAnsiTheme="majorHAnsi"/>
          <w:sz w:val="22"/>
          <w:szCs w:val="22"/>
        </w:rPr>
        <w:t xml:space="preserve">. </w:t>
      </w:r>
      <w:r w:rsidR="007264D4">
        <w:rPr>
          <w:rFonts w:asciiTheme="majorHAnsi" w:hAnsiTheme="majorHAnsi"/>
          <w:sz w:val="22"/>
          <w:szCs w:val="22"/>
        </w:rPr>
        <w:t>N</w:t>
      </w:r>
      <w:r w:rsidR="00531D52">
        <w:rPr>
          <w:rFonts w:asciiTheme="majorHAnsi" w:hAnsiTheme="majorHAnsi"/>
          <w:sz w:val="22"/>
          <w:szCs w:val="22"/>
        </w:rPr>
        <w:t>ote that the gates in Figures S1</w:t>
      </w:r>
      <w:r w:rsidR="007264D4">
        <w:rPr>
          <w:rFonts w:asciiTheme="majorHAnsi" w:hAnsiTheme="majorHAnsi"/>
          <w:sz w:val="22"/>
          <w:szCs w:val="22"/>
        </w:rPr>
        <w:t xml:space="preserve">G-I are not the actual gates used in our analysis. </w:t>
      </w:r>
      <w:r>
        <w:rPr>
          <w:rFonts w:asciiTheme="majorHAnsi" w:hAnsiTheme="majorHAnsi"/>
          <w:sz w:val="22"/>
          <w:szCs w:val="22"/>
        </w:rPr>
        <w:t>The frequency of the gates is the choice of the researcher, but higher frequency automatically allows for higher resolution in the data. From these gates, the required quantitative data are collected for further processing. In the present study, we utilized primarily the cell concentration within the gate as well as the median value for the parameter.</w:t>
      </w:r>
    </w:p>
    <w:p w14:paraId="3492449E" w14:textId="77777777" w:rsidR="00DF56A4" w:rsidRDefault="00D027A8" w:rsidP="00403AC8">
      <w:pPr>
        <w:pStyle w:val="ListParagraph"/>
        <w:numPr>
          <w:ilvl w:val="0"/>
          <w:numId w:val="1"/>
        </w:numPr>
        <w:spacing w:line="360" w:lineRule="auto"/>
        <w:jc w:val="both"/>
        <w:rPr>
          <w:rFonts w:asciiTheme="majorHAnsi" w:hAnsiTheme="majorHAnsi"/>
          <w:sz w:val="22"/>
          <w:szCs w:val="22"/>
        </w:rPr>
      </w:pPr>
      <w:r>
        <w:rPr>
          <w:rFonts w:asciiTheme="majorHAnsi" w:hAnsiTheme="majorHAnsi"/>
          <w:sz w:val="22"/>
          <w:szCs w:val="22"/>
        </w:rPr>
        <w:lastRenderedPageBreak/>
        <w:t xml:space="preserve">Notably, these steps are not limited to the specific software of the instrument that was used for the analysis. The experimental data can be exported as a CSV or FCS file and can then be processed with any number of statistical software packages available for FCM data analysis.  </w:t>
      </w:r>
    </w:p>
    <w:p w14:paraId="58431B1B" w14:textId="77777777" w:rsidR="00F1655E" w:rsidRDefault="00F1655E" w:rsidP="00F1655E">
      <w:pPr>
        <w:spacing w:line="360" w:lineRule="auto"/>
        <w:jc w:val="both"/>
        <w:rPr>
          <w:rFonts w:asciiTheme="majorHAnsi" w:hAnsiTheme="majorHAnsi"/>
          <w:sz w:val="22"/>
          <w:szCs w:val="22"/>
        </w:rPr>
      </w:pPr>
    </w:p>
    <w:p w14:paraId="32EF0ED0" w14:textId="6538A473" w:rsidR="00F1655E" w:rsidRDefault="00B43CF7" w:rsidP="00F1655E">
      <w:pPr>
        <w:spacing w:line="360" w:lineRule="auto"/>
        <w:jc w:val="both"/>
        <w:rPr>
          <w:rFonts w:asciiTheme="majorHAnsi" w:hAnsiTheme="majorHAnsi"/>
          <w:sz w:val="22"/>
          <w:szCs w:val="22"/>
        </w:rPr>
      </w:pPr>
      <w:r>
        <w:rPr>
          <w:rFonts w:asciiTheme="majorHAnsi" w:hAnsiTheme="majorHAnsi"/>
          <w:noProof/>
          <w:sz w:val="22"/>
          <w:szCs w:val="22"/>
        </w:rPr>
        <w:drawing>
          <wp:inline distT="0" distB="0" distL="0" distR="0" wp14:anchorId="758DC9A6" wp14:editId="17F9CCF5">
            <wp:extent cx="5756275" cy="6400800"/>
            <wp:effectExtent l="0" t="0" r="9525" b="0"/>
            <wp:docPr id="2" name="Picture 2" descr="Macintosh HD:Users:Eawag:Desktop:gating 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wag:Desktop:gating strate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6400800"/>
                    </a:xfrm>
                    <a:prstGeom prst="rect">
                      <a:avLst/>
                    </a:prstGeom>
                    <a:noFill/>
                    <a:ln>
                      <a:noFill/>
                    </a:ln>
                  </pic:spPr>
                </pic:pic>
              </a:graphicData>
            </a:graphic>
          </wp:inline>
        </w:drawing>
      </w:r>
    </w:p>
    <w:p w14:paraId="6B76ADEC" w14:textId="4D7B6CD2" w:rsidR="00176CB7" w:rsidRDefault="00176CB7" w:rsidP="00F1655E">
      <w:pPr>
        <w:spacing w:line="360" w:lineRule="auto"/>
        <w:jc w:val="both"/>
        <w:rPr>
          <w:rFonts w:asciiTheme="majorHAnsi" w:hAnsiTheme="majorHAnsi"/>
          <w:sz w:val="22"/>
          <w:szCs w:val="22"/>
        </w:rPr>
      </w:pPr>
      <w:bookmarkStart w:id="0" w:name="_GoBack"/>
      <w:r w:rsidRPr="006B6E56">
        <w:rPr>
          <w:rFonts w:asciiTheme="majorHAnsi" w:hAnsiTheme="majorHAnsi"/>
          <w:b/>
          <w:sz w:val="22"/>
          <w:szCs w:val="22"/>
        </w:rPr>
        <w:t>Figure S</w:t>
      </w:r>
      <w:r w:rsidR="00531D52">
        <w:rPr>
          <w:rFonts w:asciiTheme="majorHAnsi" w:hAnsiTheme="majorHAnsi"/>
          <w:b/>
          <w:sz w:val="22"/>
          <w:szCs w:val="22"/>
        </w:rPr>
        <w:t>1</w:t>
      </w:r>
      <w:r>
        <w:rPr>
          <w:rFonts w:asciiTheme="majorHAnsi" w:hAnsiTheme="majorHAnsi"/>
          <w:b/>
          <w:sz w:val="22"/>
          <w:szCs w:val="22"/>
        </w:rPr>
        <w:t>.</w:t>
      </w:r>
      <w:r w:rsidRPr="00134495">
        <w:rPr>
          <w:rFonts w:asciiTheme="majorHAnsi" w:hAnsiTheme="majorHAnsi"/>
          <w:sz w:val="22"/>
          <w:szCs w:val="22"/>
        </w:rPr>
        <w:t xml:space="preserve"> </w:t>
      </w:r>
      <w:proofErr w:type="gramStart"/>
      <w:r>
        <w:rPr>
          <w:rFonts w:asciiTheme="majorHAnsi" w:hAnsiTheme="majorHAnsi"/>
          <w:sz w:val="22"/>
          <w:szCs w:val="22"/>
        </w:rPr>
        <w:t>Example of the RT-FCM gating strategy.</w:t>
      </w:r>
      <w:proofErr w:type="gramEnd"/>
      <w:r>
        <w:rPr>
          <w:rFonts w:asciiTheme="majorHAnsi" w:hAnsiTheme="majorHAnsi"/>
          <w:sz w:val="22"/>
          <w:szCs w:val="22"/>
        </w:rPr>
        <w:t xml:space="preserve"> For details, see the description above.</w:t>
      </w:r>
      <w:r w:rsidR="00A33005">
        <w:rPr>
          <w:rFonts w:asciiTheme="majorHAnsi" w:hAnsiTheme="majorHAnsi"/>
          <w:sz w:val="22"/>
          <w:szCs w:val="22"/>
        </w:rPr>
        <w:t xml:space="preserve"> Note that the FCM density plots are original data from the experiment shown in Figure 2 (manuscript), but the gates are not the actual gates used for data analysis. The gates were manually inserted afterwards with illustration software to make the gating strategy clear.</w:t>
      </w:r>
    </w:p>
    <w:bookmarkEnd w:id="0"/>
    <w:p w14:paraId="130A9B52" w14:textId="77777777" w:rsidR="00531D52" w:rsidRDefault="00531D52" w:rsidP="00F1655E">
      <w:pPr>
        <w:spacing w:line="360" w:lineRule="auto"/>
        <w:jc w:val="both"/>
        <w:rPr>
          <w:rFonts w:asciiTheme="majorHAnsi" w:hAnsiTheme="majorHAnsi"/>
          <w:sz w:val="22"/>
          <w:szCs w:val="22"/>
        </w:rPr>
      </w:pPr>
    </w:p>
    <w:p w14:paraId="7A156165" w14:textId="6B22DC80" w:rsidR="00A33005" w:rsidRPr="008D56A3" w:rsidRDefault="00A33005" w:rsidP="00403AC8">
      <w:pPr>
        <w:rPr>
          <w:rFonts w:asciiTheme="majorHAnsi" w:hAnsiTheme="majorHAnsi"/>
          <w:b/>
          <w:sz w:val="22"/>
          <w:szCs w:val="22"/>
        </w:rPr>
      </w:pPr>
      <w:r>
        <w:rPr>
          <w:rFonts w:asciiTheme="majorHAnsi" w:hAnsiTheme="majorHAnsi"/>
          <w:sz w:val="22"/>
          <w:szCs w:val="22"/>
        </w:rPr>
        <w:br w:type="page"/>
      </w:r>
      <w:r>
        <w:rPr>
          <w:rFonts w:asciiTheme="majorHAnsi" w:hAnsiTheme="majorHAnsi"/>
          <w:b/>
          <w:sz w:val="22"/>
          <w:szCs w:val="22"/>
        </w:rPr>
        <w:t>References</w:t>
      </w:r>
    </w:p>
    <w:p w14:paraId="214661EC" w14:textId="77777777" w:rsidR="00A33005" w:rsidRDefault="00A33005" w:rsidP="007264D4">
      <w:pPr>
        <w:spacing w:line="360" w:lineRule="auto"/>
        <w:jc w:val="both"/>
        <w:rPr>
          <w:rFonts w:asciiTheme="majorHAnsi" w:hAnsiTheme="majorHAnsi"/>
          <w:b/>
          <w:sz w:val="22"/>
          <w:szCs w:val="22"/>
        </w:rPr>
      </w:pPr>
    </w:p>
    <w:p w14:paraId="122CBC7E" w14:textId="77777777" w:rsidR="007264D4" w:rsidRPr="00A33005" w:rsidRDefault="007264D4" w:rsidP="007264D4">
      <w:pPr>
        <w:pStyle w:val="ListParagraph"/>
        <w:numPr>
          <w:ilvl w:val="0"/>
          <w:numId w:val="4"/>
        </w:numPr>
        <w:spacing w:line="360" w:lineRule="auto"/>
        <w:jc w:val="both"/>
        <w:rPr>
          <w:rFonts w:asciiTheme="majorHAnsi" w:hAnsiTheme="majorHAnsi"/>
          <w:sz w:val="22"/>
          <w:szCs w:val="22"/>
        </w:rPr>
      </w:pPr>
      <w:proofErr w:type="spellStart"/>
      <w:r w:rsidRPr="00A33005">
        <w:rPr>
          <w:rFonts w:asciiTheme="majorHAnsi" w:hAnsiTheme="majorHAnsi"/>
          <w:b/>
          <w:sz w:val="22"/>
          <w:szCs w:val="22"/>
        </w:rPr>
        <w:t>Berney</w:t>
      </w:r>
      <w:proofErr w:type="spellEnd"/>
      <w:r w:rsidRPr="00A33005">
        <w:rPr>
          <w:rFonts w:asciiTheme="majorHAnsi" w:hAnsiTheme="majorHAnsi"/>
          <w:b/>
          <w:sz w:val="22"/>
          <w:szCs w:val="22"/>
        </w:rPr>
        <w:t xml:space="preserve">, M. </w:t>
      </w:r>
      <w:r w:rsidRPr="007264D4">
        <w:rPr>
          <w:rFonts w:asciiTheme="majorHAnsi" w:hAnsiTheme="majorHAnsi" w:cs="Calibri"/>
          <w:b/>
          <w:i/>
          <w:sz w:val="22"/>
          <w:szCs w:val="22"/>
        </w:rPr>
        <w:t>et al.</w:t>
      </w:r>
      <w:r>
        <w:rPr>
          <w:rFonts w:asciiTheme="majorHAnsi" w:hAnsiTheme="majorHAnsi" w:cs="Calibri"/>
          <w:sz w:val="22"/>
          <w:szCs w:val="22"/>
        </w:rPr>
        <w:t xml:space="preserve"> </w:t>
      </w:r>
      <w:r>
        <w:rPr>
          <w:rFonts w:asciiTheme="majorHAnsi" w:hAnsiTheme="majorHAnsi"/>
          <w:sz w:val="22"/>
          <w:szCs w:val="22"/>
        </w:rPr>
        <w:t>(</w:t>
      </w:r>
      <w:r w:rsidRPr="00A33005">
        <w:rPr>
          <w:rFonts w:asciiTheme="majorHAnsi" w:hAnsiTheme="majorHAnsi"/>
          <w:sz w:val="22"/>
          <w:szCs w:val="22"/>
        </w:rPr>
        <w:t>2007</w:t>
      </w:r>
      <w:r>
        <w:rPr>
          <w:rFonts w:asciiTheme="majorHAnsi" w:hAnsiTheme="majorHAnsi"/>
          <w:sz w:val="22"/>
          <w:szCs w:val="22"/>
        </w:rPr>
        <w:t>)</w:t>
      </w:r>
      <w:r w:rsidRPr="00A33005">
        <w:rPr>
          <w:rFonts w:asciiTheme="majorHAnsi" w:hAnsiTheme="majorHAnsi"/>
          <w:sz w:val="22"/>
          <w:szCs w:val="22"/>
        </w:rPr>
        <w:t xml:space="preserve"> Assessment and interpretation of bacterial viability by using the LIVE/DEAD </w:t>
      </w:r>
      <w:proofErr w:type="spellStart"/>
      <w:r w:rsidRPr="00A33005">
        <w:rPr>
          <w:rFonts w:asciiTheme="majorHAnsi" w:hAnsiTheme="majorHAnsi"/>
          <w:sz w:val="22"/>
          <w:szCs w:val="22"/>
        </w:rPr>
        <w:t>BacLight</w:t>
      </w:r>
      <w:proofErr w:type="spellEnd"/>
      <w:r w:rsidRPr="00A33005">
        <w:rPr>
          <w:rFonts w:asciiTheme="majorHAnsi" w:hAnsiTheme="majorHAnsi"/>
          <w:sz w:val="22"/>
          <w:szCs w:val="22"/>
        </w:rPr>
        <w:t xml:space="preserve"> kit in combination with flow </w:t>
      </w:r>
      <w:proofErr w:type="spellStart"/>
      <w:r w:rsidRPr="00A33005">
        <w:rPr>
          <w:rFonts w:asciiTheme="majorHAnsi" w:hAnsiTheme="majorHAnsi"/>
          <w:sz w:val="22"/>
          <w:szCs w:val="22"/>
        </w:rPr>
        <w:t>cytometry</w:t>
      </w:r>
      <w:proofErr w:type="spellEnd"/>
      <w:r w:rsidRPr="00A33005">
        <w:rPr>
          <w:rFonts w:asciiTheme="majorHAnsi" w:hAnsiTheme="majorHAnsi"/>
          <w:sz w:val="22"/>
          <w:szCs w:val="22"/>
        </w:rPr>
        <w:t xml:space="preserve">. </w:t>
      </w:r>
      <w:r w:rsidRPr="007264D4">
        <w:rPr>
          <w:rFonts w:asciiTheme="majorHAnsi" w:hAnsiTheme="majorHAnsi"/>
          <w:i/>
          <w:sz w:val="22"/>
          <w:szCs w:val="22"/>
        </w:rPr>
        <w:t xml:space="preserve">Applied and Environmental Microbiology </w:t>
      </w:r>
      <w:r w:rsidRPr="00A33005">
        <w:rPr>
          <w:rFonts w:asciiTheme="majorHAnsi" w:hAnsiTheme="majorHAnsi"/>
          <w:sz w:val="22"/>
          <w:szCs w:val="22"/>
        </w:rPr>
        <w:t>73 (10), 3283-3290.</w:t>
      </w:r>
    </w:p>
    <w:p w14:paraId="285368E4" w14:textId="77777777" w:rsidR="007264D4" w:rsidRPr="00A33005" w:rsidRDefault="007264D4" w:rsidP="007264D4">
      <w:pPr>
        <w:pStyle w:val="ListParagraph"/>
        <w:numPr>
          <w:ilvl w:val="0"/>
          <w:numId w:val="4"/>
        </w:numPr>
        <w:spacing w:line="360" w:lineRule="auto"/>
        <w:jc w:val="both"/>
        <w:rPr>
          <w:rFonts w:asciiTheme="majorHAnsi" w:hAnsiTheme="majorHAnsi" w:cs="Calibri"/>
          <w:sz w:val="22"/>
          <w:szCs w:val="22"/>
        </w:rPr>
      </w:pPr>
      <w:proofErr w:type="spellStart"/>
      <w:r w:rsidRPr="00A33005">
        <w:rPr>
          <w:rFonts w:asciiTheme="majorHAnsi" w:hAnsiTheme="majorHAnsi" w:cs="Calibri"/>
          <w:b/>
          <w:sz w:val="22"/>
          <w:szCs w:val="22"/>
        </w:rPr>
        <w:t>Hammes</w:t>
      </w:r>
      <w:proofErr w:type="spellEnd"/>
      <w:r w:rsidRPr="00A33005">
        <w:rPr>
          <w:rFonts w:asciiTheme="majorHAnsi" w:hAnsiTheme="majorHAnsi" w:cs="Calibri"/>
          <w:b/>
          <w:sz w:val="22"/>
          <w:szCs w:val="22"/>
        </w:rPr>
        <w:t xml:space="preserve">, F. </w:t>
      </w:r>
      <w:r w:rsidRPr="007264D4">
        <w:rPr>
          <w:rFonts w:asciiTheme="majorHAnsi" w:hAnsiTheme="majorHAnsi" w:cs="Calibri"/>
          <w:b/>
          <w:i/>
          <w:sz w:val="22"/>
          <w:szCs w:val="22"/>
        </w:rPr>
        <w:t>et al.</w:t>
      </w:r>
      <w:r>
        <w:rPr>
          <w:rFonts w:asciiTheme="majorHAnsi" w:hAnsiTheme="majorHAnsi" w:cs="Calibri"/>
          <w:sz w:val="22"/>
          <w:szCs w:val="22"/>
        </w:rPr>
        <w:t xml:space="preserve"> (2012) </w:t>
      </w:r>
      <w:r w:rsidRPr="00A33005">
        <w:rPr>
          <w:rFonts w:asciiTheme="majorHAnsi" w:hAnsiTheme="majorHAnsi" w:cs="Calibri"/>
          <w:sz w:val="22"/>
          <w:szCs w:val="22"/>
        </w:rPr>
        <w:t xml:space="preserve">Development and laboratory‐scale testing of a fully automated online flow cytometer for drinking water analysis. </w:t>
      </w:r>
      <w:proofErr w:type="spellStart"/>
      <w:r w:rsidRPr="00A33005">
        <w:rPr>
          <w:rFonts w:asciiTheme="majorHAnsi" w:hAnsiTheme="majorHAnsi" w:cs="Calibri"/>
          <w:i/>
          <w:iCs/>
          <w:sz w:val="22"/>
          <w:szCs w:val="22"/>
        </w:rPr>
        <w:t>Cytometry</w:t>
      </w:r>
      <w:proofErr w:type="spellEnd"/>
      <w:r w:rsidRPr="00A33005">
        <w:rPr>
          <w:rFonts w:asciiTheme="majorHAnsi" w:hAnsiTheme="majorHAnsi" w:cs="Calibri"/>
          <w:i/>
          <w:iCs/>
          <w:sz w:val="22"/>
          <w:szCs w:val="22"/>
        </w:rPr>
        <w:t xml:space="preserve"> Part A</w:t>
      </w:r>
      <w:r w:rsidRPr="00A33005">
        <w:rPr>
          <w:rFonts w:asciiTheme="majorHAnsi" w:hAnsiTheme="majorHAnsi" w:cs="Calibri"/>
          <w:sz w:val="22"/>
          <w:szCs w:val="22"/>
        </w:rPr>
        <w:t xml:space="preserve"> (2012).</w:t>
      </w:r>
    </w:p>
    <w:p w14:paraId="75F665A1" w14:textId="2AEBE39C" w:rsidR="00A33005" w:rsidRPr="00A33005" w:rsidRDefault="00A33005" w:rsidP="007264D4">
      <w:pPr>
        <w:pStyle w:val="ListParagraph"/>
        <w:numPr>
          <w:ilvl w:val="0"/>
          <w:numId w:val="4"/>
        </w:numPr>
        <w:spacing w:line="360" w:lineRule="auto"/>
        <w:jc w:val="both"/>
        <w:rPr>
          <w:rFonts w:asciiTheme="majorHAnsi" w:hAnsiTheme="majorHAnsi" w:cs="Calibri"/>
          <w:sz w:val="22"/>
          <w:szCs w:val="22"/>
        </w:rPr>
      </w:pPr>
      <w:r w:rsidRPr="00A33005">
        <w:rPr>
          <w:rFonts w:asciiTheme="majorHAnsi" w:hAnsiTheme="majorHAnsi" w:cs="Calibri"/>
          <w:b/>
          <w:sz w:val="22"/>
          <w:szCs w:val="22"/>
          <w:lang w:val="nl-NL"/>
        </w:rPr>
        <w:t xml:space="preserve">Prest, E. </w:t>
      </w:r>
      <w:r w:rsidRPr="007264D4">
        <w:rPr>
          <w:rFonts w:asciiTheme="majorHAnsi" w:hAnsiTheme="majorHAnsi" w:cs="Calibri"/>
          <w:b/>
          <w:i/>
          <w:sz w:val="22"/>
          <w:szCs w:val="22"/>
          <w:lang w:val="nl-NL"/>
        </w:rPr>
        <w:t>et al.</w:t>
      </w:r>
      <w:r w:rsidRPr="00A33005">
        <w:rPr>
          <w:rFonts w:asciiTheme="majorHAnsi" w:hAnsiTheme="majorHAnsi" w:cs="Calibri"/>
          <w:sz w:val="22"/>
          <w:szCs w:val="22"/>
          <w:lang w:val="nl-NL"/>
        </w:rPr>
        <w:t xml:space="preserve"> </w:t>
      </w:r>
      <w:r>
        <w:rPr>
          <w:rFonts w:asciiTheme="majorHAnsi" w:hAnsiTheme="majorHAnsi" w:cs="Calibri"/>
          <w:sz w:val="22"/>
          <w:szCs w:val="22"/>
          <w:lang w:val="nl-NL"/>
        </w:rPr>
        <w:t xml:space="preserve">(2013) </w:t>
      </w:r>
      <w:r w:rsidRPr="00A33005">
        <w:rPr>
          <w:rFonts w:asciiTheme="majorHAnsi" w:hAnsiTheme="majorHAnsi" w:cs="Calibri"/>
          <w:sz w:val="22"/>
          <w:szCs w:val="22"/>
        </w:rPr>
        <w:t xml:space="preserve">Monitoring microbiological changes in drinking water systems using a fast and reproducible flow </w:t>
      </w:r>
      <w:proofErr w:type="spellStart"/>
      <w:r w:rsidRPr="00A33005">
        <w:rPr>
          <w:rFonts w:asciiTheme="majorHAnsi" w:hAnsiTheme="majorHAnsi" w:cs="Calibri"/>
          <w:sz w:val="22"/>
          <w:szCs w:val="22"/>
        </w:rPr>
        <w:t>cytometric</w:t>
      </w:r>
      <w:proofErr w:type="spellEnd"/>
      <w:r w:rsidRPr="00A33005">
        <w:rPr>
          <w:rFonts w:asciiTheme="majorHAnsi" w:hAnsiTheme="majorHAnsi" w:cs="Calibri"/>
          <w:sz w:val="22"/>
          <w:szCs w:val="22"/>
        </w:rPr>
        <w:t xml:space="preserve"> method. </w:t>
      </w:r>
      <w:r w:rsidRPr="007264D4">
        <w:rPr>
          <w:rFonts w:asciiTheme="majorHAnsi" w:hAnsiTheme="majorHAnsi" w:cs="Calibri"/>
          <w:i/>
          <w:sz w:val="22"/>
          <w:szCs w:val="22"/>
        </w:rPr>
        <w:t>Water Research</w:t>
      </w:r>
      <w:r w:rsidRPr="00A33005">
        <w:rPr>
          <w:rFonts w:asciiTheme="majorHAnsi" w:hAnsiTheme="majorHAnsi" w:cs="Calibri"/>
          <w:sz w:val="22"/>
          <w:szCs w:val="22"/>
        </w:rPr>
        <w:t xml:space="preserve"> (in press). </w:t>
      </w:r>
    </w:p>
    <w:p w14:paraId="72BD7439" w14:textId="1AA00AD8" w:rsidR="00A33005" w:rsidRPr="00A33005" w:rsidRDefault="00A33005" w:rsidP="007264D4">
      <w:pPr>
        <w:pStyle w:val="ColorfulList-Accent11"/>
        <w:numPr>
          <w:ilvl w:val="0"/>
          <w:numId w:val="4"/>
        </w:numPr>
        <w:spacing w:after="0" w:line="360" w:lineRule="auto"/>
        <w:jc w:val="both"/>
        <w:rPr>
          <w:rFonts w:asciiTheme="majorHAnsi" w:hAnsiTheme="majorHAnsi" w:cs="Calibri"/>
          <w:lang w:val="en-GB"/>
        </w:rPr>
      </w:pPr>
      <w:proofErr w:type="spellStart"/>
      <w:r w:rsidRPr="00A33005">
        <w:rPr>
          <w:rFonts w:asciiTheme="majorHAnsi" w:hAnsiTheme="majorHAnsi" w:cs="Calibri"/>
          <w:b/>
          <w:lang w:val="en-GB"/>
        </w:rPr>
        <w:t>Ramseier</w:t>
      </w:r>
      <w:proofErr w:type="spellEnd"/>
      <w:r w:rsidRPr="00A33005">
        <w:rPr>
          <w:rFonts w:asciiTheme="majorHAnsi" w:hAnsiTheme="majorHAnsi" w:cs="Calibri"/>
          <w:b/>
          <w:lang w:val="en-GB"/>
        </w:rPr>
        <w:t xml:space="preserve">, M.K., </w:t>
      </w:r>
      <w:r w:rsidRPr="007264D4">
        <w:rPr>
          <w:rFonts w:asciiTheme="majorHAnsi" w:hAnsiTheme="majorHAnsi" w:cs="Calibri"/>
          <w:b/>
          <w:i/>
        </w:rPr>
        <w:t>et al.</w:t>
      </w:r>
      <w:r>
        <w:rPr>
          <w:rFonts w:asciiTheme="majorHAnsi" w:hAnsiTheme="majorHAnsi" w:cs="Calibri"/>
        </w:rPr>
        <w:t xml:space="preserve"> (</w:t>
      </w:r>
      <w:r w:rsidRPr="00A33005">
        <w:rPr>
          <w:rFonts w:asciiTheme="majorHAnsi" w:hAnsiTheme="majorHAnsi" w:cs="Calibri"/>
          <w:lang w:val="en-GB"/>
        </w:rPr>
        <w:t>2011</w:t>
      </w:r>
      <w:r>
        <w:rPr>
          <w:rFonts w:asciiTheme="majorHAnsi" w:hAnsiTheme="majorHAnsi" w:cs="Calibri"/>
          <w:lang w:val="en-GB"/>
        </w:rPr>
        <w:t>)</w:t>
      </w:r>
      <w:r w:rsidRPr="00A33005">
        <w:rPr>
          <w:rFonts w:asciiTheme="majorHAnsi" w:hAnsiTheme="majorHAnsi" w:cs="Calibri"/>
          <w:lang w:val="en-GB"/>
        </w:rPr>
        <w:t xml:space="preserve"> Kinetics of membrane damage to high (HNA) and low (LNA) nucleic acid bacterial clusters in drinking water by ozone, chlorine, chlorine dioxide, </w:t>
      </w:r>
      <w:proofErr w:type="spellStart"/>
      <w:r w:rsidRPr="00A33005">
        <w:rPr>
          <w:rFonts w:asciiTheme="majorHAnsi" w:hAnsiTheme="majorHAnsi" w:cs="Calibri"/>
          <w:lang w:val="en-GB"/>
        </w:rPr>
        <w:t>monochloramine</w:t>
      </w:r>
      <w:proofErr w:type="spellEnd"/>
      <w:r w:rsidRPr="00A33005">
        <w:rPr>
          <w:rFonts w:asciiTheme="majorHAnsi" w:hAnsiTheme="majorHAnsi" w:cs="Calibri"/>
          <w:lang w:val="en-GB"/>
        </w:rPr>
        <w:t xml:space="preserve">, </w:t>
      </w:r>
      <w:proofErr w:type="gramStart"/>
      <w:r w:rsidRPr="00A33005">
        <w:rPr>
          <w:rFonts w:asciiTheme="majorHAnsi" w:hAnsiTheme="majorHAnsi" w:cs="Calibri"/>
          <w:lang w:val="en-GB"/>
        </w:rPr>
        <w:t>ferrate(</w:t>
      </w:r>
      <w:proofErr w:type="gramEnd"/>
      <w:r w:rsidRPr="00A33005">
        <w:rPr>
          <w:rFonts w:asciiTheme="majorHAnsi" w:hAnsiTheme="majorHAnsi" w:cs="Calibri"/>
          <w:lang w:val="en-GB"/>
        </w:rPr>
        <w:t xml:space="preserve">VI), and permanganate. </w:t>
      </w:r>
      <w:r w:rsidRPr="007264D4">
        <w:rPr>
          <w:rFonts w:asciiTheme="majorHAnsi" w:hAnsiTheme="majorHAnsi" w:cs="Calibri"/>
          <w:i/>
          <w:lang w:val="en-GB"/>
        </w:rPr>
        <w:t>Water Res</w:t>
      </w:r>
      <w:r w:rsidR="007264D4" w:rsidRPr="007264D4">
        <w:rPr>
          <w:rFonts w:asciiTheme="majorHAnsi" w:hAnsiTheme="majorHAnsi" w:cs="Calibri"/>
          <w:i/>
          <w:lang w:val="en-GB"/>
        </w:rPr>
        <w:t>earch</w:t>
      </w:r>
      <w:r w:rsidRPr="00A33005">
        <w:rPr>
          <w:rFonts w:asciiTheme="majorHAnsi" w:hAnsiTheme="majorHAnsi" w:cs="Calibri"/>
          <w:lang w:val="en-GB"/>
        </w:rPr>
        <w:t xml:space="preserve"> 45 (3), 1490-1500.</w:t>
      </w:r>
    </w:p>
    <w:sectPr w:rsidR="00A33005" w:rsidRPr="00A33005" w:rsidSect="00505E3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1AF"/>
    <w:multiLevelType w:val="hybridMultilevel"/>
    <w:tmpl w:val="AD50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46A69"/>
    <w:multiLevelType w:val="hybridMultilevel"/>
    <w:tmpl w:val="31FC13EE"/>
    <w:lvl w:ilvl="0" w:tplc="C1AA374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613B0"/>
    <w:multiLevelType w:val="multilevel"/>
    <w:tmpl w:val="AD505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036EE7"/>
    <w:multiLevelType w:val="hybridMultilevel"/>
    <w:tmpl w:val="D938D0BE"/>
    <w:lvl w:ilvl="0" w:tplc="91CA9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3E"/>
    <w:rsid w:val="00176CB7"/>
    <w:rsid w:val="00395AD3"/>
    <w:rsid w:val="00403AC8"/>
    <w:rsid w:val="00505E3E"/>
    <w:rsid w:val="00531D52"/>
    <w:rsid w:val="005758E7"/>
    <w:rsid w:val="006B6E56"/>
    <w:rsid w:val="007264D4"/>
    <w:rsid w:val="007617E3"/>
    <w:rsid w:val="008D56A3"/>
    <w:rsid w:val="00A33005"/>
    <w:rsid w:val="00B43CF7"/>
    <w:rsid w:val="00CA5C46"/>
    <w:rsid w:val="00D027A8"/>
    <w:rsid w:val="00DF56A4"/>
    <w:rsid w:val="00F1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AA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5E3E"/>
    <w:pPr>
      <w:ind w:left="720"/>
      <w:contextualSpacing/>
    </w:pPr>
  </w:style>
  <w:style w:type="paragraph" w:styleId="BalloonText">
    <w:name w:val="Balloon Text"/>
    <w:basedOn w:val="Normal"/>
    <w:link w:val="BalloonTextChar"/>
    <w:uiPriority w:val="99"/>
    <w:semiHidden/>
    <w:unhideWhenUsed/>
    <w:rsid w:val="00F16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55E"/>
    <w:rPr>
      <w:rFonts w:ascii="Lucida Grande" w:hAnsi="Lucida Grande" w:cs="Lucida Grande"/>
      <w:sz w:val="18"/>
      <w:szCs w:val="18"/>
    </w:rPr>
  </w:style>
  <w:style w:type="paragraph" w:customStyle="1" w:styleId="ColorfulList-Accent11">
    <w:name w:val="Colorful List - Accent 11"/>
    <w:basedOn w:val="Normal"/>
    <w:qFormat/>
    <w:rsid w:val="00A33005"/>
    <w:pPr>
      <w:spacing w:after="200" w:line="276" w:lineRule="auto"/>
      <w:ind w:left="720"/>
    </w:pPr>
    <w:rPr>
      <w:rFonts w:ascii="Calibri" w:eastAsia="Calibri" w:hAnsi="Calibri" w:cs="Times New Roman"/>
      <w:sz w:val="22"/>
      <w:szCs w:val="22"/>
      <w:lang w:val="de-CH"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5E3E"/>
    <w:pPr>
      <w:ind w:left="720"/>
      <w:contextualSpacing/>
    </w:pPr>
  </w:style>
  <w:style w:type="paragraph" w:styleId="BalloonText">
    <w:name w:val="Balloon Text"/>
    <w:basedOn w:val="Normal"/>
    <w:link w:val="BalloonTextChar"/>
    <w:uiPriority w:val="99"/>
    <w:semiHidden/>
    <w:unhideWhenUsed/>
    <w:rsid w:val="00F16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55E"/>
    <w:rPr>
      <w:rFonts w:ascii="Lucida Grande" w:hAnsi="Lucida Grande" w:cs="Lucida Grande"/>
      <w:sz w:val="18"/>
      <w:szCs w:val="18"/>
    </w:rPr>
  </w:style>
  <w:style w:type="paragraph" w:customStyle="1" w:styleId="ColorfulList-Accent11">
    <w:name w:val="Colorful List - Accent 11"/>
    <w:basedOn w:val="Normal"/>
    <w:qFormat/>
    <w:rsid w:val="00A33005"/>
    <w:pPr>
      <w:spacing w:after="200" w:line="276" w:lineRule="auto"/>
      <w:ind w:left="720"/>
    </w:pPr>
    <w:rPr>
      <w:rFonts w:ascii="Calibri" w:eastAsia="Calibri" w:hAnsi="Calibri" w:cs="Times New Roman"/>
      <w:sz w:val="22"/>
      <w:szCs w:val="22"/>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3453</Characters>
  <Application>Microsoft Macintosh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dc:creator>
  <cp:keywords/>
  <dc:description/>
  <cp:lastModifiedBy>Frederik</cp:lastModifiedBy>
  <cp:revision>2</cp:revision>
  <cp:lastPrinted>2013-08-15T07:50:00Z</cp:lastPrinted>
  <dcterms:created xsi:type="dcterms:W3CDTF">2013-10-27T10:02:00Z</dcterms:created>
  <dcterms:modified xsi:type="dcterms:W3CDTF">2013-10-27T10:02:00Z</dcterms:modified>
</cp:coreProperties>
</file>