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20" w:rsidRDefault="00224420">
      <w:r>
        <w:t xml:space="preserve">Table S1- </w:t>
      </w:r>
      <w:r w:rsidRPr="004352CB">
        <w:t>Explanatory and outcome variables</w:t>
      </w:r>
    </w:p>
    <w:tbl>
      <w:tblPr>
        <w:tblpPr w:leftFromText="180" w:rightFromText="180" w:vertAnchor="page" w:horzAnchor="margin" w:tblpY="3160"/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3580"/>
        <w:gridCol w:w="7760"/>
      </w:tblGrid>
      <w:tr w:rsidR="00224420" w:rsidRPr="00224420" w:rsidTr="00224420">
        <w:trPr>
          <w:trHeight w:val="30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Exposure variable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Database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Codes used/ Description</w:t>
            </w:r>
          </w:p>
        </w:tc>
      </w:tr>
      <w:tr w:rsidR="00224420" w:rsidRPr="00224420" w:rsidTr="00224420">
        <w:trPr>
          <w:trHeight w:val="1995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Diabetes Codes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General Practitioner, National Community Child Health Data, BRECON (type 1 diabetes register)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C10%, Cyu2., Cyu20, L180., L1800, L1801, L1802, L1803, L1804','L1805','L1806', L1807, L1808, L1808, L1809, L180X, L180z, Lyu29 Initial date of diagnosis was also provided. Any diagnosis of type 2 diabetes within 10 months before and up to 2 months after pregnancy was treated as Gestational diabetes. After 2 months of birth delivery, a diagnosis of type 2 diabetes signified mothers who developed diabetes post pregnancy. </w:t>
            </w:r>
          </w:p>
        </w:tc>
      </w:tr>
      <w:tr w:rsidR="00224420" w:rsidRPr="00224420" w:rsidTr="00224420">
        <w:trPr>
          <w:trHeight w:val="375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24420" w:rsidRPr="00224420" w:rsidTr="00224420">
        <w:trPr>
          <w:trHeight w:val="435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Medication codes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General practitioner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f1%, f2%, </w:t>
            </w:r>
            <w:proofErr w:type="spellStart"/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fw</w:t>
            </w:r>
            <w:proofErr w:type="spellEnd"/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%</w:t>
            </w:r>
          </w:p>
        </w:tc>
      </w:tr>
      <w:tr w:rsidR="00224420" w:rsidRPr="00224420" w:rsidTr="00224420">
        <w:trPr>
          <w:trHeight w:val="42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244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en-GB"/>
              </w:rPr>
              <w:t>Confounding</w:t>
            </w:r>
            <w:proofErr w:type="spellEnd"/>
            <w:r w:rsidRPr="002244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en-GB"/>
              </w:rPr>
              <w:t xml:space="preserve"> variables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4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224420" w:rsidRPr="00224420" w:rsidTr="00224420">
        <w:trPr>
          <w:trHeight w:val="66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Deprivation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National Community Child Health Database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Lower Super Output Area (LSAO) </w:t>
            </w:r>
          </w:p>
        </w:tc>
      </w:tr>
      <w:tr w:rsidR="00224420" w:rsidRPr="00224420" w:rsidTr="00224420">
        <w:trPr>
          <w:trHeight w:val="345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224420" w:rsidRPr="00224420" w:rsidTr="00224420">
        <w:trPr>
          <w:trHeight w:val="1062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Pre-pregnancy 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weight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General Practitioner 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Weight nearest date of delivery recorded within 5 years preceding delivery date (not including pregnancy period). Any BMI values less than 13 kg/m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>2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and greater than 85 kg/m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 xml:space="preserve">2 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were disregarded.  </w:t>
            </w:r>
          </w:p>
        </w:tc>
      </w:tr>
      <w:tr w:rsidR="00224420" w:rsidRPr="00224420" w:rsidTr="00224420">
        <w:trPr>
          <w:trHeight w:val="30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4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24420" w:rsidRPr="00224420" w:rsidTr="00224420">
        <w:trPr>
          <w:trHeight w:val="150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Smoking status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General Practitioner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1371., 137K, 137N., 137O., 137S., 137T., 1377., 1378., 1379., 137A., 137B., 137F., 137i., 137b., 137C., 137c., 137G. , 137V., 13p.., 13p0., 13p1., 13p2., 13p3., 13p4., 13p5., 745H., 745H4, 8H7i., 8HTK., 9N2k., 137d., 8I39., 1372., 1373., 1374., 1375., 1376., 137a., 137e., 137g., 137H., 137J., 137M., 137P., 137Q., 137R., 137V., 137b., 137C., 137c., 137D., 137d., 137e., 137f., 137G., 137g., 137h., 137Q., 63C5.   </w:t>
            </w:r>
          </w:p>
        </w:tc>
      </w:tr>
      <w:tr w:rsidR="00224420" w:rsidRPr="00224420" w:rsidTr="00224420">
        <w:trPr>
          <w:trHeight w:val="30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4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224420" w:rsidRPr="00224420" w:rsidTr="00224420">
        <w:trPr>
          <w:trHeight w:val="60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Age 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General Practitioner/ National Community Child Health Database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Mother’s date of birth subtracted from date of delivery. Women outside the age range of 12-65 years at the time of delivery were excluded. </w:t>
            </w:r>
          </w:p>
        </w:tc>
      </w:tr>
      <w:tr w:rsidR="00224420" w:rsidRPr="00224420" w:rsidTr="0022442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4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224420" w:rsidRPr="00224420" w:rsidTr="00224420">
        <w:trPr>
          <w:trHeight w:val="57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Parity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National Community Child Health Database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Number of children born to mother before birth of child follow-up in the study.</w:t>
            </w:r>
          </w:p>
        </w:tc>
      </w:tr>
      <w:tr w:rsidR="00224420" w:rsidRPr="00224420" w:rsidTr="00224420">
        <w:trPr>
          <w:trHeight w:val="30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Outcome variables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224420" w:rsidRPr="00224420" w:rsidTr="00224420">
        <w:trPr>
          <w:trHeight w:val="60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Weight at birth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National Community Child Health Database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Values were excluded if weight was outside the range of 1kg to 6 kg’s.  A birth weight exceeding 4kg classified a child as large at birth. </w:t>
            </w:r>
          </w:p>
        </w:tc>
      </w:tr>
      <w:tr w:rsidR="00224420" w:rsidRPr="00224420" w:rsidTr="00224420">
        <w:trPr>
          <w:trHeight w:val="30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224420" w:rsidRPr="00224420" w:rsidTr="00224420">
        <w:trPr>
          <w:trHeight w:val="96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Weight at 12 months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National Community Child Health Database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Closest weight recording between the ages of 6 to 18 months was used.  Values were disregarded if below the 0.4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>th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or above the 99.6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>th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centile as recorded in the UK-WHO growth charts.</w:t>
            </w:r>
          </w:p>
        </w:tc>
      </w:tr>
      <w:tr w:rsidR="00224420" w:rsidRPr="00224420" w:rsidTr="00224420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4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224420" w:rsidRPr="00224420" w:rsidTr="00224420">
        <w:trPr>
          <w:trHeight w:val="960"/>
        </w:trPr>
        <w:tc>
          <w:tcPr>
            <w:tcW w:w="262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Weight at 60 months</w:t>
            </w:r>
          </w:p>
        </w:tc>
        <w:tc>
          <w:tcPr>
            <w:tcW w:w="358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National Community Child Health Database</w:t>
            </w:r>
          </w:p>
        </w:tc>
        <w:tc>
          <w:tcPr>
            <w:tcW w:w="7760" w:type="dxa"/>
            <w:shd w:val="clear" w:color="auto" w:fill="auto"/>
            <w:hideMark/>
          </w:tcPr>
          <w:p w:rsidR="00224420" w:rsidRPr="00224420" w:rsidRDefault="00224420" w:rsidP="0022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Closest weight recording between the ages of 4 to 6 years was used.  Values were disregarded if below the 0.4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>th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or above the 99.6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>th</w:t>
            </w:r>
            <w:r w:rsidRPr="0022442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centile as recorded in the UK-WHO growth charts.</w:t>
            </w:r>
          </w:p>
        </w:tc>
      </w:tr>
    </w:tbl>
    <w:p w:rsidR="00224420" w:rsidRPr="00224420" w:rsidRDefault="00224420" w:rsidP="00224420"/>
    <w:sectPr w:rsidR="00224420" w:rsidRPr="00224420" w:rsidSect="002244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4420"/>
    <w:rsid w:val="00224420"/>
    <w:rsid w:val="00425077"/>
    <w:rsid w:val="0077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Swansea University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1</cp:revision>
  <dcterms:created xsi:type="dcterms:W3CDTF">2013-10-14T07:49:00Z</dcterms:created>
  <dcterms:modified xsi:type="dcterms:W3CDTF">2013-10-14T07:54:00Z</dcterms:modified>
</cp:coreProperties>
</file>