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1F" w:rsidRPr="00BC16BD" w:rsidRDefault="0090321F">
      <w:pPr>
        <w:rPr>
          <w:rFonts w:ascii="Arial" w:hAnsi="Arial" w:cs="Arial"/>
          <w:b/>
          <w:sz w:val="22"/>
          <w:szCs w:val="22"/>
        </w:rPr>
      </w:pPr>
      <w:r w:rsidRPr="00BC16BD">
        <w:rPr>
          <w:rFonts w:ascii="Arial" w:hAnsi="Arial" w:cs="Arial"/>
          <w:b/>
          <w:sz w:val="22"/>
          <w:szCs w:val="22"/>
        </w:rPr>
        <w:t>APPENDIX</w:t>
      </w:r>
    </w:p>
    <w:p w:rsidR="0090321F" w:rsidRPr="00BC16BD" w:rsidRDefault="0090321F" w:rsidP="000B5236">
      <w:pPr>
        <w:spacing w:line="480" w:lineRule="auto"/>
        <w:rPr>
          <w:rFonts w:ascii="Arial" w:hAnsi="Arial" w:cs="Arial"/>
          <w:b/>
          <w:sz w:val="22"/>
          <w:szCs w:val="22"/>
        </w:rPr>
      </w:pPr>
    </w:p>
    <w:p w:rsidR="0090321F" w:rsidRPr="00BC16BD" w:rsidRDefault="0090321F" w:rsidP="000B5236">
      <w:pPr>
        <w:spacing w:line="480" w:lineRule="auto"/>
        <w:rPr>
          <w:rFonts w:ascii="Arial" w:hAnsi="Arial" w:cs="Arial"/>
          <w:sz w:val="22"/>
          <w:szCs w:val="22"/>
        </w:rPr>
      </w:pPr>
      <w:proofErr w:type="gramStart"/>
      <w:r w:rsidRPr="00BC16BD">
        <w:rPr>
          <w:rFonts w:ascii="Arial" w:hAnsi="Arial" w:cs="Arial"/>
          <w:i/>
          <w:sz w:val="22"/>
          <w:szCs w:val="22"/>
        </w:rPr>
        <w:t>Clinic questionnaire.</w:t>
      </w:r>
      <w:proofErr w:type="gramEnd"/>
      <w:r w:rsidRPr="00BC16BD">
        <w:rPr>
          <w:rFonts w:ascii="Arial" w:hAnsi="Arial" w:cs="Arial"/>
          <w:sz w:val="22"/>
          <w:szCs w:val="22"/>
        </w:rPr>
        <w:t xml:space="preserve">  We developed a questionnaire distributed to each clinical cohort that aimed to better characterize mechanisms in place at individual clinics to assist patients in accessing prescription drugs, in 2001 and 2008.  The questionnaire, addressed to the medical director or other relevant authority with knowledge of this information, asked whether the clinic provided direct assistance with applying to the following services: Medicare Part D, Medicaid, ADAP, patient assistance programs from either individual drug companies or local pharmacies, or an AIDS clinical trial group.   It also asked whether the clinic referred the patient to entities outside of the clinic for help to apply to such services.  Results of this questionnaire for 2008 (N=22 clinics) are shown in Table </w:t>
      </w:r>
      <w:r w:rsidR="009871BE">
        <w:rPr>
          <w:rFonts w:ascii="Arial" w:hAnsi="Arial" w:cs="Arial"/>
          <w:sz w:val="22"/>
          <w:szCs w:val="22"/>
        </w:rPr>
        <w:t>S</w:t>
      </w:r>
      <w:r w:rsidRPr="00BC16BD">
        <w:rPr>
          <w:rFonts w:ascii="Arial" w:hAnsi="Arial" w:cs="Arial"/>
          <w:sz w:val="22"/>
          <w:szCs w:val="22"/>
        </w:rPr>
        <w:t xml:space="preserve">1.  </w:t>
      </w:r>
    </w:p>
    <w:p w:rsidR="0090321F" w:rsidRPr="00BC16BD" w:rsidRDefault="0090321F" w:rsidP="000B5236">
      <w:pPr>
        <w:spacing w:line="480" w:lineRule="auto"/>
        <w:rPr>
          <w:rFonts w:ascii="Arial" w:hAnsi="Arial" w:cs="Arial"/>
          <w:sz w:val="22"/>
          <w:szCs w:val="22"/>
        </w:rPr>
      </w:pPr>
    </w:p>
    <w:p w:rsidR="0090321F" w:rsidRPr="00BC16BD" w:rsidRDefault="0090321F" w:rsidP="000B5236">
      <w:pPr>
        <w:spacing w:line="480" w:lineRule="auto"/>
        <w:rPr>
          <w:rFonts w:ascii="Arial" w:hAnsi="Arial" w:cs="Arial"/>
          <w:sz w:val="22"/>
          <w:szCs w:val="22"/>
        </w:rPr>
      </w:pPr>
      <w:r w:rsidRPr="00BC16BD">
        <w:rPr>
          <w:rFonts w:ascii="Arial" w:hAnsi="Arial" w:cs="Arial"/>
          <w:sz w:val="22"/>
          <w:szCs w:val="22"/>
        </w:rPr>
        <w:t xml:space="preserve">For analysis purposes, we summarized these data by creating two scores, one for direct mechanisms and one for those referred to outside entities, by adding the dichotomous values for each of the individual mechanisms.  For cohorts not surveyed, we used the median of the answers from the surveyed cohorts.  </w:t>
      </w:r>
    </w:p>
    <w:p w:rsidR="0090321F" w:rsidRPr="00BC16BD" w:rsidRDefault="0090321F" w:rsidP="000B5236">
      <w:pPr>
        <w:spacing w:line="480" w:lineRule="auto"/>
        <w:rPr>
          <w:rFonts w:ascii="Arial" w:hAnsi="Arial" w:cs="Arial"/>
          <w:i/>
          <w:sz w:val="22"/>
          <w:szCs w:val="22"/>
        </w:rPr>
      </w:pPr>
    </w:p>
    <w:p w:rsidR="0090321F" w:rsidRPr="00BC16BD" w:rsidRDefault="0090321F" w:rsidP="000B5236">
      <w:pPr>
        <w:spacing w:line="480" w:lineRule="auto"/>
        <w:rPr>
          <w:rFonts w:ascii="Arial" w:hAnsi="Arial" w:cs="Arial"/>
          <w:sz w:val="22"/>
          <w:szCs w:val="22"/>
        </w:rPr>
      </w:pPr>
      <w:r w:rsidRPr="00BC16BD">
        <w:rPr>
          <w:rFonts w:ascii="Arial" w:hAnsi="Arial" w:cs="Arial"/>
          <w:i/>
          <w:sz w:val="22"/>
          <w:szCs w:val="22"/>
        </w:rPr>
        <w:t xml:space="preserve">Details of propensity score matching.  </w:t>
      </w:r>
      <w:r w:rsidRPr="00BC16BD">
        <w:rPr>
          <w:rFonts w:ascii="Arial" w:hAnsi="Arial" w:cs="Arial"/>
          <w:sz w:val="22"/>
          <w:szCs w:val="22"/>
        </w:rPr>
        <w:t>We use</w:t>
      </w:r>
      <w:r w:rsidR="00FA6692">
        <w:rPr>
          <w:rFonts w:ascii="Arial" w:hAnsi="Arial" w:cs="Arial"/>
          <w:sz w:val="22"/>
          <w:szCs w:val="22"/>
        </w:rPr>
        <w:t xml:space="preserve">d tools in the </w:t>
      </w:r>
      <w:proofErr w:type="spellStart"/>
      <w:r w:rsidR="00FA6692">
        <w:rPr>
          <w:rFonts w:ascii="Arial" w:hAnsi="Arial" w:cs="Arial"/>
          <w:sz w:val="22"/>
          <w:szCs w:val="22"/>
        </w:rPr>
        <w:t>MatchIt</w:t>
      </w:r>
      <w:proofErr w:type="spellEnd"/>
      <w:r w:rsidR="00FA6692">
        <w:rPr>
          <w:rFonts w:ascii="Arial" w:hAnsi="Arial" w:cs="Arial"/>
          <w:sz w:val="22"/>
          <w:szCs w:val="22"/>
        </w:rPr>
        <w:t xml:space="preserve"> package [1]</w:t>
      </w:r>
      <w:r w:rsidRPr="00BC16BD">
        <w:rPr>
          <w:rFonts w:ascii="Arial" w:hAnsi="Arial" w:cs="Arial"/>
          <w:sz w:val="22"/>
          <w:szCs w:val="22"/>
        </w:rPr>
        <w:t xml:space="preserve"> in R 2.15.0 (R Foundation for Statistical Computing, Vienna, Austria) to perform propensity score matching.  We estimated the predicted probability of living in a state with each feature using logistic regression, conditioning on the following individual- and clinic-level variables that might confound the relationship between the exposure and the outcomes of interest at the time of eligibility: age (continuous), race/ethnicity (black, Hispanic, and white or other), sex and transmission risk (men who have sex with men, male IDU, female IDU, male other risk, female other risk), CD4+ count (&lt;200 cells/</w:t>
      </w:r>
      <w:proofErr w:type="spellStart"/>
      <w:r w:rsidRPr="00BC16BD">
        <w:rPr>
          <w:rFonts w:ascii="Arial" w:hAnsi="Arial" w:cs="Arial"/>
          <w:sz w:val="22"/>
          <w:szCs w:val="22"/>
        </w:rPr>
        <w:t>uL</w:t>
      </w:r>
      <w:proofErr w:type="spellEnd"/>
      <w:r w:rsidRPr="00BC16BD">
        <w:rPr>
          <w:rFonts w:ascii="Arial" w:hAnsi="Arial" w:cs="Arial"/>
          <w:sz w:val="22"/>
          <w:szCs w:val="22"/>
        </w:rPr>
        <w:t>, 200-349 cells/</w:t>
      </w:r>
      <w:proofErr w:type="spellStart"/>
      <w:r w:rsidRPr="00BC16BD">
        <w:rPr>
          <w:rFonts w:ascii="Arial" w:hAnsi="Arial" w:cs="Arial"/>
          <w:sz w:val="22"/>
          <w:szCs w:val="22"/>
        </w:rPr>
        <w:t>uL</w:t>
      </w:r>
      <w:proofErr w:type="spellEnd"/>
      <w:r w:rsidRPr="00BC16BD">
        <w:rPr>
          <w:rFonts w:ascii="Arial" w:hAnsi="Arial" w:cs="Arial"/>
          <w:sz w:val="22"/>
          <w:szCs w:val="22"/>
        </w:rPr>
        <w:t>, 350+ cells/</w:t>
      </w:r>
      <w:proofErr w:type="spellStart"/>
      <w:r w:rsidRPr="00BC16BD">
        <w:rPr>
          <w:rFonts w:ascii="Arial" w:hAnsi="Arial" w:cs="Arial"/>
          <w:sz w:val="22"/>
          <w:szCs w:val="22"/>
        </w:rPr>
        <w:t>uL</w:t>
      </w:r>
      <w:proofErr w:type="spellEnd"/>
      <w:r w:rsidRPr="00BC16BD">
        <w:rPr>
          <w:rFonts w:ascii="Arial" w:hAnsi="Arial" w:cs="Arial"/>
          <w:sz w:val="22"/>
          <w:szCs w:val="22"/>
        </w:rPr>
        <w:t xml:space="preserve">), viral load (undetectable, 500-9,999 copies/mL, 10,000-99,999 copies/mL, 100,000 copies/mL or more, </w:t>
      </w:r>
      <w:r w:rsidRPr="00BC16BD">
        <w:rPr>
          <w:rFonts w:ascii="Arial" w:hAnsi="Arial" w:cs="Arial"/>
          <w:sz w:val="22"/>
          <w:szCs w:val="22"/>
        </w:rPr>
        <w:lastRenderedPageBreak/>
        <w:t>missing), number of psychosocial barriers (ordinal, 0 through 3), calendar year (ordinal, 2001 through 2009), and clinic-specific mechanisms for obtaining prescription drugs (continuous, and grouped into 2 variables: internal and external/referral-based).  We also included the following state-level variables, parameterized into quartiles and analyzed as indicator variables: population density, percent of population that is black, median household income, percent of population below the FPL, and Medicaid spending on HIV per capita.</w:t>
      </w:r>
    </w:p>
    <w:p w:rsidR="0090321F" w:rsidRPr="00BC16BD" w:rsidRDefault="0090321F" w:rsidP="000B5236">
      <w:pPr>
        <w:spacing w:line="480" w:lineRule="auto"/>
        <w:rPr>
          <w:rFonts w:ascii="Arial" w:hAnsi="Arial" w:cs="Arial"/>
          <w:sz w:val="22"/>
          <w:szCs w:val="22"/>
        </w:rPr>
      </w:pPr>
    </w:p>
    <w:p w:rsidR="0090321F" w:rsidRPr="00BC16BD" w:rsidRDefault="0090321F" w:rsidP="000B5236">
      <w:pPr>
        <w:spacing w:line="480" w:lineRule="auto"/>
        <w:rPr>
          <w:rFonts w:ascii="Arial" w:hAnsi="Arial" w:cs="Arial"/>
          <w:sz w:val="22"/>
          <w:szCs w:val="22"/>
        </w:rPr>
      </w:pPr>
      <w:r w:rsidRPr="00BC16BD">
        <w:rPr>
          <w:rFonts w:ascii="Arial" w:hAnsi="Arial" w:cs="Arial"/>
          <w:sz w:val="22"/>
          <w:szCs w:val="22"/>
        </w:rPr>
        <w:t>To minimize differences between the “exposed” and “unexposed”, we matched exposed individuals to comparable unexposed individuals based on the predicted probabilities, or propensity scores.  We evaluated different matching methods both quantitatively based on the estimation of “standardized bias” and qualitatively by examining the distribution of propensity scores across exposed and unexposed individuals.  Standardized bias is the “difference in means of each covariate [before and after matching], divided by the standard deviat</w:t>
      </w:r>
      <w:r w:rsidR="00FA6692">
        <w:rPr>
          <w:rFonts w:ascii="Arial" w:hAnsi="Arial" w:cs="Arial"/>
          <w:sz w:val="22"/>
          <w:szCs w:val="22"/>
        </w:rPr>
        <w:t>ion in the full treated group”</w:t>
      </w:r>
      <w:proofErr w:type="gramStart"/>
      <w:r w:rsidR="00FA6692">
        <w:rPr>
          <w:rFonts w:ascii="Arial" w:hAnsi="Arial" w:cs="Arial"/>
          <w:sz w:val="22"/>
          <w:szCs w:val="22"/>
        </w:rPr>
        <w:t>.[</w:t>
      </w:r>
      <w:proofErr w:type="gramEnd"/>
      <w:r w:rsidR="00FA6692">
        <w:rPr>
          <w:rFonts w:ascii="Arial" w:hAnsi="Arial" w:cs="Arial"/>
          <w:sz w:val="22"/>
          <w:szCs w:val="22"/>
        </w:rPr>
        <w:t>2]</w:t>
      </w:r>
      <w:r w:rsidRPr="00BC16BD">
        <w:rPr>
          <w:rFonts w:ascii="Arial" w:hAnsi="Arial" w:cs="Arial"/>
          <w:sz w:val="22"/>
          <w:szCs w:val="22"/>
        </w:rPr>
        <w:t xml:space="preserve">  A standardized bias value less than 0.25 has been described as “trus</w:t>
      </w:r>
      <w:r w:rsidR="00FA6692">
        <w:rPr>
          <w:rFonts w:ascii="Arial" w:hAnsi="Arial" w:cs="Arial"/>
          <w:sz w:val="22"/>
          <w:szCs w:val="22"/>
        </w:rPr>
        <w:t>tworthy” for matching purposes.[</w:t>
      </w:r>
      <w:r w:rsidR="00AB24E9">
        <w:rPr>
          <w:rFonts w:ascii="Arial" w:hAnsi="Arial" w:cs="Arial"/>
          <w:sz w:val="22"/>
          <w:szCs w:val="22"/>
        </w:rPr>
        <w:t>3]</w:t>
      </w:r>
      <w:r w:rsidRPr="00BC16BD">
        <w:rPr>
          <w:rFonts w:ascii="Arial" w:hAnsi="Arial" w:cs="Arial"/>
          <w:sz w:val="22"/>
          <w:szCs w:val="22"/>
        </w:rPr>
        <w:t xml:space="preserve">  Parameters that we evaluated for different nearest neighbor matching methods included the number of unexposed individuals chosen (up to 4) and whether matching with replacement is used.  Matching with replacement means that exposed individuals can be matched to more than one unexposed individual if necessary.  In general, we found the lowest average standardized bias across all variables through the use of 1:3 nearest neighbor matching (</w:t>
      </w:r>
      <w:proofErr w:type="spellStart"/>
      <w:r w:rsidRPr="00BC16BD">
        <w:rPr>
          <w:rFonts w:ascii="Arial" w:hAnsi="Arial" w:cs="Arial"/>
          <w:sz w:val="22"/>
          <w:szCs w:val="22"/>
        </w:rPr>
        <w:t>exposed</w:t>
      </w:r>
      <w:proofErr w:type="gramStart"/>
      <w:r w:rsidRPr="00BC16BD">
        <w:rPr>
          <w:rFonts w:ascii="Arial" w:hAnsi="Arial" w:cs="Arial"/>
          <w:sz w:val="22"/>
          <w:szCs w:val="22"/>
        </w:rPr>
        <w:t>:unexposed</w:t>
      </w:r>
      <w:proofErr w:type="spellEnd"/>
      <w:proofErr w:type="gramEnd"/>
      <w:r w:rsidRPr="00BC16BD">
        <w:rPr>
          <w:rFonts w:ascii="Arial" w:hAnsi="Arial" w:cs="Arial"/>
          <w:sz w:val="22"/>
          <w:szCs w:val="22"/>
        </w:rPr>
        <w:t xml:space="preserve">) with replacement.   </w:t>
      </w:r>
    </w:p>
    <w:p w:rsidR="0090321F" w:rsidRPr="00BC16BD" w:rsidRDefault="0090321F" w:rsidP="000B5236">
      <w:pPr>
        <w:spacing w:line="480" w:lineRule="auto"/>
        <w:rPr>
          <w:rFonts w:ascii="Arial" w:hAnsi="Arial" w:cs="Arial"/>
          <w:sz w:val="22"/>
          <w:szCs w:val="22"/>
        </w:rPr>
      </w:pPr>
    </w:p>
    <w:p w:rsidR="0090321F" w:rsidRPr="00BC16BD" w:rsidRDefault="0090321F" w:rsidP="000B5236">
      <w:pPr>
        <w:spacing w:before="100" w:beforeAutospacing="1" w:after="100" w:afterAutospacing="1" w:line="480" w:lineRule="auto"/>
        <w:contextualSpacing/>
        <w:rPr>
          <w:rFonts w:ascii="Arial" w:hAnsi="Arial" w:cs="Arial"/>
          <w:sz w:val="22"/>
          <w:szCs w:val="22"/>
        </w:rPr>
      </w:pPr>
      <w:r w:rsidRPr="00BC16BD">
        <w:rPr>
          <w:rFonts w:ascii="Arial" w:hAnsi="Arial" w:cs="Arial"/>
          <w:sz w:val="22"/>
          <w:szCs w:val="22"/>
        </w:rPr>
        <w:t xml:space="preserve">We graphically assessed whether there was sufficient overlap in the distributions between exposed and unexposed individuals to have comparable populations by examining propensity score distributions.  This is known in the literature as “common support”, an essential feature of exchangeability.  For the state contribution to the ADAP budget variable, there was common support without having </w:t>
      </w:r>
      <w:r w:rsidR="00FA6692">
        <w:rPr>
          <w:rFonts w:ascii="Arial" w:hAnsi="Arial" w:cs="Arial"/>
          <w:sz w:val="22"/>
          <w:szCs w:val="22"/>
        </w:rPr>
        <w:t>to alter the matching strategy.[4]</w:t>
      </w:r>
      <w:r w:rsidRPr="00BC16BD">
        <w:rPr>
          <w:rFonts w:ascii="Arial" w:hAnsi="Arial" w:cs="Arial"/>
          <w:sz w:val="22"/>
          <w:szCs w:val="22"/>
        </w:rPr>
        <w:t xml:space="preserve">  For the ADAP waiting list variable, a </w:t>
      </w:r>
      <w:r w:rsidRPr="00BC16BD">
        <w:rPr>
          <w:rFonts w:ascii="Arial" w:hAnsi="Arial" w:cs="Arial"/>
          <w:sz w:val="22"/>
          <w:szCs w:val="22"/>
        </w:rPr>
        <w:lastRenderedPageBreak/>
        <w:t>proportion of the exposed individuals (i.e., individuals living in a state with a waiting list at the time of ART eligibility) did not have comparable unexposed individuals.  To maintain common support, we excluded 43 out of 441 exposed individuals from analysis (9.8%).</w:t>
      </w:r>
      <w:r w:rsidR="00FA6692">
        <w:rPr>
          <w:rFonts w:ascii="Arial" w:hAnsi="Arial" w:cs="Arial"/>
          <w:bCs/>
          <w:sz w:val="22"/>
          <w:szCs w:val="22"/>
        </w:rPr>
        <w:t>[5]</w:t>
      </w:r>
      <w:r w:rsidRPr="00BC16BD">
        <w:rPr>
          <w:rFonts w:ascii="Arial" w:hAnsi="Arial" w:cs="Arial"/>
          <w:bCs/>
          <w:sz w:val="22"/>
          <w:szCs w:val="22"/>
        </w:rPr>
        <w:t xml:space="preserve"> </w:t>
      </w:r>
      <w:r w:rsidRPr="00BC16BD">
        <w:rPr>
          <w:rFonts w:ascii="Arial" w:hAnsi="Arial" w:cs="Arial"/>
          <w:sz w:val="22"/>
          <w:szCs w:val="22"/>
        </w:rPr>
        <w:t xml:space="preserve"> </w:t>
      </w:r>
      <w:r w:rsidRPr="00BC16BD">
        <w:rPr>
          <w:rFonts w:ascii="Arial" w:hAnsi="Arial" w:cs="Arial"/>
          <w:bCs/>
          <w:sz w:val="22"/>
          <w:szCs w:val="22"/>
        </w:rPr>
        <w:t>A drawback of this approach is that the resulting estimated only describes the subpopulation of exposed individuals whose propensities are overall similar to thos</w:t>
      </w:r>
      <w:r w:rsidR="00FA6692">
        <w:rPr>
          <w:rFonts w:ascii="Arial" w:hAnsi="Arial" w:cs="Arial"/>
          <w:bCs/>
          <w:sz w:val="22"/>
          <w:szCs w:val="22"/>
        </w:rPr>
        <w:t>e of the unexposed individuals.[6]</w:t>
      </w:r>
      <w:r w:rsidRPr="00BC16BD">
        <w:rPr>
          <w:rFonts w:ascii="Arial" w:hAnsi="Arial" w:cs="Arial"/>
          <w:sz w:val="22"/>
          <w:szCs w:val="22"/>
        </w:rPr>
        <w:t xml:space="preserve"> </w:t>
      </w:r>
    </w:p>
    <w:p w:rsidR="0090321F" w:rsidRPr="00BC16BD" w:rsidRDefault="0090321F" w:rsidP="000B5236">
      <w:pPr>
        <w:spacing w:line="480" w:lineRule="auto"/>
        <w:rPr>
          <w:rFonts w:ascii="Arial" w:hAnsi="Arial" w:cs="Arial"/>
          <w:sz w:val="22"/>
          <w:szCs w:val="22"/>
        </w:rPr>
      </w:pPr>
    </w:p>
    <w:p w:rsidR="0090321F" w:rsidRPr="00BC16BD" w:rsidRDefault="0090321F">
      <w:pPr>
        <w:spacing w:line="480" w:lineRule="auto"/>
        <w:rPr>
          <w:rFonts w:ascii="Arial" w:hAnsi="Arial" w:cs="Arial"/>
          <w:sz w:val="22"/>
          <w:szCs w:val="22"/>
        </w:rPr>
      </w:pPr>
      <w:proofErr w:type="gramStart"/>
      <w:r w:rsidRPr="00BC16BD">
        <w:rPr>
          <w:rFonts w:ascii="Arial" w:hAnsi="Arial" w:cs="Arial"/>
          <w:i/>
          <w:sz w:val="22"/>
          <w:szCs w:val="22"/>
        </w:rPr>
        <w:t>Sensitivity analyses.</w:t>
      </w:r>
      <w:proofErr w:type="gramEnd"/>
      <w:r w:rsidRPr="00BC16BD">
        <w:rPr>
          <w:rFonts w:ascii="Arial" w:hAnsi="Arial" w:cs="Arial"/>
          <w:i/>
          <w:sz w:val="22"/>
          <w:szCs w:val="22"/>
        </w:rPr>
        <w:t xml:space="preserve">  </w:t>
      </w:r>
      <w:r w:rsidRPr="00BC16BD">
        <w:rPr>
          <w:rFonts w:ascii="Arial" w:hAnsi="Arial" w:cs="Arial"/>
          <w:sz w:val="22"/>
          <w:szCs w:val="22"/>
        </w:rPr>
        <w:t xml:space="preserve">We performed several sensitivity analyses to examine assumptions about the relationship between state ADAP features and the outcomes of interest (Table </w:t>
      </w:r>
      <w:r w:rsidR="009871BE">
        <w:rPr>
          <w:rFonts w:ascii="Arial" w:hAnsi="Arial" w:cs="Arial"/>
          <w:sz w:val="22"/>
          <w:szCs w:val="22"/>
        </w:rPr>
        <w:t>S</w:t>
      </w:r>
      <w:r w:rsidRPr="00BC16BD">
        <w:rPr>
          <w:rFonts w:ascii="Arial" w:hAnsi="Arial" w:cs="Arial"/>
          <w:sz w:val="22"/>
          <w:szCs w:val="22"/>
        </w:rPr>
        <w:t>2).  Methodological alternatives that we examined included additional control for state fixed effects (to account for any unobserved state effects), not accounting for clinic-specific mechanisms to procure ART treatment, using inverse probability weighting to account for confounding instead of propensity score matching, and additional control for state level of insurance coverage (based on time-varying data obtained from the Current Population Survey).  We also lagged exposures by 6 months in case the policies had a delayed effect on changing ART initiation patterns in this population.  Finally, we explored effect estimates in several subgroups, including confirmed newly eligible individuals (i.e., those with a prior recorded CD4+ count &gt;350 cells/</w:t>
      </w:r>
      <w:proofErr w:type="spellStart"/>
      <w:r w:rsidRPr="00BC16BD">
        <w:rPr>
          <w:rFonts w:ascii="Arial" w:hAnsi="Arial" w:cs="Arial"/>
          <w:sz w:val="22"/>
          <w:szCs w:val="22"/>
        </w:rPr>
        <w:t>uL</w:t>
      </w:r>
      <w:proofErr w:type="spellEnd"/>
      <w:r w:rsidRPr="00BC16BD">
        <w:rPr>
          <w:rFonts w:ascii="Arial" w:hAnsi="Arial" w:cs="Arial"/>
          <w:sz w:val="22"/>
          <w:szCs w:val="22"/>
        </w:rPr>
        <w:t>), individuals whose state of residence was recorded (versus presumed), and injection drug users defined using a more sensitive definition (i.e., documented history of IDU only).</w:t>
      </w:r>
    </w:p>
    <w:p w:rsidR="0090321F" w:rsidRPr="00BC16BD" w:rsidRDefault="0090321F">
      <w:pPr>
        <w:rPr>
          <w:rFonts w:ascii="Arial" w:hAnsi="Arial" w:cs="Arial"/>
          <w:b/>
          <w:i/>
          <w:sz w:val="22"/>
          <w:szCs w:val="22"/>
        </w:rPr>
      </w:pPr>
      <w:r w:rsidRPr="00BC16BD">
        <w:rPr>
          <w:rFonts w:ascii="Arial" w:hAnsi="Arial" w:cs="Arial"/>
          <w:b/>
          <w:i/>
          <w:sz w:val="22"/>
          <w:szCs w:val="22"/>
        </w:rPr>
        <w:br w:type="page"/>
      </w:r>
    </w:p>
    <w:p w:rsidR="0090321F" w:rsidRPr="00BC16BD" w:rsidRDefault="0090321F" w:rsidP="000B5236">
      <w:pPr>
        <w:spacing w:line="480" w:lineRule="auto"/>
        <w:rPr>
          <w:rFonts w:ascii="Arial" w:hAnsi="Arial" w:cs="Arial"/>
          <w:b/>
          <w:sz w:val="22"/>
          <w:szCs w:val="22"/>
        </w:rPr>
      </w:pPr>
      <w:r w:rsidRPr="00BC16BD">
        <w:rPr>
          <w:rFonts w:ascii="Arial" w:hAnsi="Arial" w:cs="Arial"/>
          <w:b/>
          <w:sz w:val="22"/>
          <w:szCs w:val="22"/>
        </w:rPr>
        <w:lastRenderedPageBreak/>
        <w:t>APPENDIX REFERENCES</w:t>
      </w:r>
    </w:p>
    <w:p w:rsidR="0090321F" w:rsidRPr="00BC16BD" w:rsidRDefault="0090321F" w:rsidP="000B5236">
      <w:pPr>
        <w:spacing w:line="480" w:lineRule="auto"/>
        <w:rPr>
          <w:rFonts w:ascii="Arial" w:hAnsi="Arial" w:cs="Arial"/>
          <w:b/>
          <w:sz w:val="22"/>
          <w:szCs w:val="22"/>
        </w:rPr>
      </w:pPr>
    </w:p>
    <w:p w:rsidR="0090321F" w:rsidRPr="000F2366" w:rsidRDefault="0090321F" w:rsidP="000B5236">
      <w:pPr>
        <w:spacing w:line="480" w:lineRule="auto"/>
        <w:ind w:left="720" w:hanging="720"/>
        <w:rPr>
          <w:rFonts w:ascii="Arial" w:hAnsi="Arial" w:cs="Arial"/>
          <w:sz w:val="22"/>
          <w:szCs w:val="22"/>
        </w:rPr>
      </w:pPr>
      <w:r w:rsidRPr="00BC16BD">
        <w:rPr>
          <w:rFonts w:ascii="Arial" w:hAnsi="Arial" w:cs="Arial"/>
          <w:sz w:val="22"/>
          <w:szCs w:val="22"/>
        </w:rPr>
        <w:t>1.</w:t>
      </w:r>
      <w:r w:rsidRPr="000F2366">
        <w:rPr>
          <w:rFonts w:ascii="Arial" w:hAnsi="Arial" w:cs="Arial"/>
          <w:sz w:val="22"/>
          <w:szCs w:val="22"/>
        </w:rPr>
        <w:tab/>
        <w:t>Ho D, Imai K, King G, Stuart E</w:t>
      </w:r>
      <w:r w:rsidR="000F2366" w:rsidRPr="000F2366">
        <w:rPr>
          <w:rFonts w:ascii="Arial" w:hAnsi="Arial" w:cs="Arial"/>
          <w:sz w:val="22"/>
          <w:szCs w:val="22"/>
        </w:rPr>
        <w:t xml:space="preserve"> (2007)</w:t>
      </w:r>
      <w:r w:rsidRPr="000F2366">
        <w:rPr>
          <w:rFonts w:ascii="Arial" w:hAnsi="Arial" w:cs="Arial"/>
          <w:sz w:val="22"/>
          <w:szCs w:val="22"/>
        </w:rPr>
        <w:t xml:space="preserve">. </w:t>
      </w:r>
      <w:r w:rsidR="000F2366" w:rsidRPr="000F2366">
        <w:rPr>
          <w:rFonts w:ascii="Arial" w:hAnsi="Arial" w:cs="Arial"/>
          <w:sz w:val="22"/>
          <w:szCs w:val="22"/>
        </w:rPr>
        <w:t xml:space="preserve"> </w:t>
      </w:r>
      <w:proofErr w:type="gramStart"/>
      <w:r w:rsidRPr="000F2366">
        <w:rPr>
          <w:rFonts w:ascii="Arial" w:hAnsi="Arial" w:cs="Arial"/>
          <w:sz w:val="22"/>
          <w:szCs w:val="22"/>
        </w:rPr>
        <w:t>Matching as nonparametric preprocessing for reducing model dependence in parametric causal inference.</w:t>
      </w:r>
      <w:proofErr w:type="gramEnd"/>
      <w:r w:rsidRPr="000F2366">
        <w:rPr>
          <w:rFonts w:ascii="Arial" w:hAnsi="Arial" w:cs="Arial"/>
          <w:sz w:val="22"/>
          <w:szCs w:val="22"/>
        </w:rPr>
        <w:t xml:space="preserve"> </w:t>
      </w:r>
      <w:r w:rsidR="000F2366" w:rsidRPr="000F2366">
        <w:rPr>
          <w:rFonts w:ascii="Arial" w:hAnsi="Arial" w:cs="Arial"/>
          <w:sz w:val="22"/>
          <w:szCs w:val="22"/>
        </w:rPr>
        <w:t xml:space="preserve"> </w:t>
      </w:r>
      <w:proofErr w:type="spellStart"/>
      <w:r w:rsidRPr="000F2366">
        <w:rPr>
          <w:rFonts w:ascii="Arial" w:hAnsi="Arial" w:cs="Arial"/>
          <w:sz w:val="22"/>
          <w:szCs w:val="22"/>
        </w:rPr>
        <w:t>Pol</w:t>
      </w:r>
      <w:proofErr w:type="spellEnd"/>
      <w:r w:rsidRPr="000F2366">
        <w:rPr>
          <w:rFonts w:ascii="Arial" w:hAnsi="Arial" w:cs="Arial"/>
          <w:sz w:val="22"/>
          <w:szCs w:val="22"/>
        </w:rPr>
        <w:t xml:space="preserve"> Analysis</w:t>
      </w:r>
      <w:r w:rsidR="000F2366" w:rsidRPr="000F2366">
        <w:rPr>
          <w:rFonts w:ascii="Arial" w:hAnsi="Arial" w:cs="Arial"/>
          <w:sz w:val="22"/>
          <w:szCs w:val="22"/>
        </w:rPr>
        <w:t xml:space="preserve"> </w:t>
      </w:r>
      <w:r w:rsidRPr="000F2366">
        <w:rPr>
          <w:rFonts w:ascii="Arial" w:hAnsi="Arial" w:cs="Arial"/>
          <w:sz w:val="22"/>
          <w:szCs w:val="22"/>
        </w:rPr>
        <w:t>15:199-236.</w:t>
      </w:r>
    </w:p>
    <w:p w:rsidR="0090321F" w:rsidRPr="000F2366" w:rsidRDefault="0090321F" w:rsidP="000B5236">
      <w:pPr>
        <w:spacing w:line="480" w:lineRule="auto"/>
        <w:ind w:left="720" w:hanging="720"/>
        <w:rPr>
          <w:rFonts w:ascii="Arial" w:hAnsi="Arial" w:cs="Arial"/>
          <w:sz w:val="22"/>
          <w:szCs w:val="22"/>
        </w:rPr>
      </w:pPr>
      <w:r w:rsidRPr="000F2366">
        <w:rPr>
          <w:rFonts w:ascii="Arial" w:hAnsi="Arial" w:cs="Arial"/>
          <w:sz w:val="22"/>
          <w:szCs w:val="22"/>
        </w:rPr>
        <w:t xml:space="preserve">2. </w:t>
      </w:r>
      <w:r w:rsidRPr="000F2366">
        <w:rPr>
          <w:rFonts w:ascii="Arial" w:hAnsi="Arial" w:cs="Arial"/>
          <w:sz w:val="22"/>
          <w:szCs w:val="22"/>
        </w:rPr>
        <w:tab/>
        <w:t>Stuart EA</w:t>
      </w:r>
      <w:r w:rsidR="000F2366" w:rsidRPr="000F2366">
        <w:rPr>
          <w:rFonts w:ascii="Arial" w:hAnsi="Arial" w:cs="Arial"/>
          <w:sz w:val="22"/>
          <w:szCs w:val="22"/>
        </w:rPr>
        <w:t xml:space="preserve"> (2010)</w:t>
      </w:r>
      <w:r w:rsidRPr="000F2366">
        <w:rPr>
          <w:rFonts w:ascii="Arial" w:hAnsi="Arial" w:cs="Arial"/>
          <w:sz w:val="22"/>
          <w:szCs w:val="22"/>
        </w:rPr>
        <w:t>.</w:t>
      </w:r>
      <w:r w:rsidR="000F2366" w:rsidRPr="000F2366">
        <w:rPr>
          <w:rFonts w:ascii="Arial" w:hAnsi="Arial" w:cs="Arial"/>
          <w:sz w:val="22"/>
          <w:szCs w:val="22"/>
        </w:rPr>
        <w:t xml:space="preserve"> </w:t>
      </w:r>
      <w:r w:rsidRPr="000F2366">
        <w:rPr>
          <w:rFonts w:ascii="Arial" w:hAnsi="Arial" w:cs="Arial"/>
          <w:sz w:val="22"/>
          <w:szCs w:val="22"/>
        </w:rPr>
        <w:t xml:space="preserve"> </w:t>
      </w:r>
      <w:proofErr w:type="gramStart"/>
      <w:r w:rsidRPr="000F2366">
        <w:rPr>
          <w:rFonts w:ascii="Arial" w:hAnsi="Arial" w:cs="Arial"/>
          <w:sz w:val="22"/>
          <w:szCs w:val="22"/>
        </w:rPr>
        <w:t>Matching methods for causal inference: A review and a look forward.</w:t>
      </w:r>
      <w:proofErr w:type="gramEnd"/>
      <w:r w:rsidRPr="000F2366">
        <w:rPr>
          <w:rFonts w:ascii="Arial" w:hAnsi="Arial" w:cs="Arial"/>
          <w:sz w:val="22"/>
          <w:szCs w:val="22"/>
        </w:rPr>
        <w:t xml:space="preserve"> Stat </w:t>
      </w:r>
      <w:proofErr w:type="spellStart"/>
      <w:r w:rsidRPr="000F2366">
        <w:rPr>
          <w:rFonts w:ascii="Arial" w:hAnsi="Arial" w:cs="Arial"/>
          <w:sz w:val="22"/>
          <w:szCs w:val="22"/>
        </w:rPr>
        <w:t>Sci</w:t>
      </w:r>
      <w:proofErr w:type="spellEnd"/>
      <w:r w:rsidR="000F2366" w:rsidRPr="000F2366">
        <w:rPr>
          <w:rFonts w:ascii="Arial" w:hAnsi="Arial" w:cs="Arial"/>
          <w:sz w:val="22"/>
          <w:szCs w:val="22"/>
        </w:rPr>
        <w:t xml:space="preserve"> </w:t>
      </w:r>
      <w:r w:rsidRPr="000F2366">
        <w:rPr>
          <w:rFonts w:ascii="Arial" w:hAnsi="Arial" w:cs="Arial"/>
          <w:sz w:val="22"/>
          <w:szCs w:val="22"/>
        </w:rPr>
        <w:t>25(1):</w:t>
      </w:r>
      <w:r w:rsidR="000F2366" w:rsidRPr="000F2366">
        <w:rPr>
          <w:rFonts w:ascii="Arial" w:hAnsi="Arial" w:cs="Arial"/>
          <w:sz w:val="22"/>
          <w:szCs w:val="22"/>
        </w:rPr>
        <w:t xml:space="preserve"> </w:t>
      </w:r>
      <w:r w:rsidRPr="000F2366">
        <w:rPr>
          <w:rFonts w:ascii="Arial" w:hAnsi="Arial" w:cs="Arial"/>
          <w:sz w:val="22"/>
          <w:szCs w:val="22"/>
        </w:rPr>
        <w:t>1-21.</w:t>
      </w:r>
    </w:p>
    <w:p w:rsidR="0090321F" w:rsidRPr="000F2366" w:rsidRDefault="0090321F" w:rsidP="000B5236">
      <w:pPr>
        <w:spacing w:line="480" w:lineRule="auto"/>
        <w:ind w:left="720" w:hanging="720"/>
        <w:rPr>
          <w:rFonts w:ascii="Arial" w:hAnsi="Arial" w:cs="Arial"/>
          <w:sz w:val="22"/>
          <w:szCs w:val="22"/>
        </w:rPr>
      </w:pPr>
      <w:r w:rsidRPr="000F2366">
        <w:rPr>
          <w:rFonts w:ascii="Arial" w:hAnsi="Arial" w:cs="Arial"/>
          <w:sz w:val="22"/>
          <w:szCs w:val="22"/>
        </w:rPr>
        <w:t xml:space="preserve">3. </w:t>
      </w:r>
      <w:r w:rsidRPr="000F2366">
        <w:rPr>
          <w:rFonts w:ascii="Arial" w:hAnsi="Arial" w:cs="Arial"/>
          <w:sz w:val="22"/>
          <w:szCs w:val="22"/>
        </w:rPr>
        <w:tab/>
        <w:t>Rubin DB</w:t>
      </w:r>
      <w:r w:rsidR="000F2366" w:rsidRPr="000F2366">
        <w:rPr>
          <w:rFonts w:ascii="Arial" w:hAnsi="Arial" w:cs="Arial"/>
          <w:sz w:val="22"/>
          <w:szCs w:val="22"/>
        </w:rPr>
        <w:t xml:space="preserve"> (2001)</w:t>
      </w:r>
      <w:r w:rsidRPr="000F2366">
        <w:rPr>
          <w:rFonts w:ascii="Arial" w:hAnsi="Arial" w:cs="Arial"/>
          <w:sz w:val="22"/>
          <w:szCs w:val="22"/>
        </w:rPr>
        <w:t xml:space="preserve">. </w:t>
      </w:r>
      <w:r w:rsidR="000F2366" w:rsidRPr="000F2366">
        <w:rPr>
          <w:rFonts w:ascii="Arial" w:hAnsi="Arial" w:cs="Arial"/>
          <w:sz w:val="22"/>
          <w:szCs w:val="22"/>
        </w:rPr>
        <w:t xml:space="preserve"> </w:t>
      </w:r>
      <w:proofErr w:type="gramStart"/>
      <w:r w:rsidRPr="000F2366">
        <w:rPr>
          <w:rFonts w:ascii="Arial" w:hAnsi="Arial" w:cs="Arial"/>
          <w:sz w:val="22"/>
          <w:szCs w:val="22"/>
        </w:rPr>
        <w:t>Using propensity scores to help design observational studies: Application to the tobacco litigation.</w:t>
      </w:r>
      <w:proofErr w:type="gramEnd"/>
      <w:r w:rsidR="000F2366" w:rsidRPr="000F2366">
        <w:rPr>
          <w:rFonts w:ascii="Arial" w:hAnsi="Arial" w:cs="Arial"/>
          <w:sz w:val="22"/>
          <w:szCs w:val="22"/>
        </w:rPr>
        <w:t xml:space="preserve"> </w:t>
      </w:r>
      <w:r w:rsidRPr="000F2366">
        <w:rPr>
          <w:rFonts w:ascii="Arial" w:hAnsi="Arial" w:cs="Arial"/>
          <w:sz w:val="22"/>
          <w:szCs w:val="22"/>
        </w:rPr>
        <w:t xml:space="preserve"> Health </w:t>
      </w:r>
      <w:proofErr w:type="spellStart"/>
      <w:r w:rsidRPr="000F2366">
        <w:rPr>
          <w:rFonts w:ascii="Arial" w:hAnsi="Arial" w:cs="Arial"/>
          <w:sz w:val="22"/>
          <w:szCs w:val="22"/>
        </w:rPr>
        <w:t>Serv</w:t>
      </w:r>
      <w:proofErr w:type="spellEnd"/>
      <w:r w:rsidRPr="000F2366">
        <w:rPr>
          <w:rFonts w:ascii="Arial" w:hAnsi="Arial" w:cs="Arial"/>
          <w:sz w:val="22"/>
          <w:szCs w:val="22"/>
        </w:rPr>
        <w:t xml:space="preserve"> Outcomes Res </w:t>
      </w:r>
      <w:proofErr w:type="spellStart"/>
      <w:r w:rsidRPr="000F2366">
        <w:rPr>
          <w:rFonts w:ascii="Arial" w:hAnsi="Arial" w:cs="Arial"/>
          <w:sz w:val="22"/>
          <w:szCs w:val="22"/>
        </w:rPr>
        <w:t>Methodol</w:t>
      </w:r>
      <w:proofErr w:type="spellEnd"/>
      <w:r w:rsidR="000F2366" w:rsidRPr="000F2366">
        <w:rPr>
          <w:rFonts w:ascii="Arial" w:hAnsi="Arial" w:cs="Arial"/>
          <w:sz w:val="22"/>
          <w:szCs w:val="22"/>
        </w:rPr>
        <w:t xml:space="preserve"> </w:t>
      </w:r>
      <w:r w:rsidRPr="000F2366">
        <w:rPr>
          <w:rFonts w:ascii="Arial" w:hAnsi="Arial" w:cs="Arial"/>
          <w:sz w:val="22"/>
          <w:szCs w:val="22"/>
        </w:rPr>
        <w:t>2:169-188.</w:t>
      </w:r>
    </w:p>
    <w:p w:rsidR="0090321F" w:rsidRPr="000F2366" w:rsidRDefault="0090321F" w:rsidP="000B5236">
      <w:pPr>
        <w:spacing w:line="480" w:lineRule="auto"/>
        <w:ind w:left="720" w:hanging="720"/>
        <w:rPr>
          <w:rFonts w:ascii="Arial" w:hAnsi="Arial" w:cs="Arial"/>
          <w:sz w:val="22"/>
          <w:szCs w:val="22"/>
        </w:rPr>
      </w:pPr>
      <w:r w:rsidRPr="000F2366">
        <w:rPr>
          <w:rFonts w:ascii="Arial" w:hAnsi="Arial" w:cs="Arial"/>
          <w:sz w:val="22"/>
          <w:szCs w:val="22"/>
        </w:rPr>
        <w:t xml:space="preserve">4. </w:t>
      </w:r>
      <w:r w:rsidRPr="000F2366">
        <w:rPr>
          <w:rFonts w:ascii="Arial" w:hAnsi="Arial" w:cs="Arial"/>
          <w:sz w:val="22"/>
          <w:szCs w:val="22"/>
        </w:rPr>
        <w:tab/>
      </w:r>
      <w:proofErr w:type="spellStart"/>
      <w:r w:rsidRPr="000F2366">
        <w:rPr>
          <w:rFonts w:ascii="Arial" w:hAnsi="Arial" w:cs="Arial"/>
          <w:sz w:val="22"/>
          <w:szCs w:val="22"/>
        </w:rPr>
        <w:t>Imbens</w:t>
      </w:r>
      <w:proofErr w:type="spellEnd"/>
      <w:r w:rsidRPr="000F2366">
        <w:rPr>
          <w:rFonts w:ascii="Arial" w:hAnsi="Arial" w:cs="Arial"/>
          <w:sz w:val="22"/>
          <w:szCs w:val="22"/>
        </w:rPr>
        <w:t xml:space="preserve"> GW</w:t>
      </w:r>
      <w:r w:rsidR="000F2366" w:rsidRPr="000F2366">
        <w:rPr>
          <w:rFonts w:ascii="Arial" w:hAnsi="Arial" w:cs="Arial"/>
          <w:sz w:val="22"/>
          <w:szCs w:val="22"/>
        </w:rPr>
        <w:t xml:space="preserve"> (2004)</w:t>
      </w:r>
      <w:r w:rsidRPr="000F2366">
        <w:rPr>
          <w:rFonts w:ascii="Arial" w:hAnsi="Arial" w:cs="Arial"/>
          <w:sz w:val="22"/>
          <w:szCs w:val="22"/>
        </w:rPr>
        <w:t>.</w:t>
      </w:r>
      <w:r w:rsidR="000F2366" w:rsidRPr="000F2366">
        <w:rPr>
          <w:rFonts w:ascii="Arial" w:hAnsi="Arial" w:cs="Arial"/>
          <w:sz w:val="22"/>
          <w:szCs w:val="22"/>
        </w:rPr>
        <w:t xml:space="preserve"> </w:t>
      </w:r>
      <w:r w:rsidRPr="000F2366">
        <w:rPr>
          <w:rFonts w:ascii="Arial" w:hAnsi="Arial" w:cs="Arial"/>
          <w:sz w:val="22"/>
          <w:szCs w:val="22"/>
        </w:rPr>
        <w:t xml:space="preserve"> Nonparametric estimation of average treatment effects under </w:t>
      </w:r>
      <w:proofErr w:type="spellStart"/>
      <w:r w:rsidRPr="000F2366">
        <w:rPr>
          <w:rFonts w:ascii="Arial" w:hAnsi="Arial" w:cs="Arial"/>
          <w:sz w:val="22"/>
          <w:szCs w:val="22"/>
        </w:rPr>
        <w:t>exogeneity</w:t>
      </w:r>
      <w:proofErr w:type="spellEnd"/>
      <w:r w:rsidRPr="000F2366">
        <w:rPr>
          <w:rFonts w:ascii="Arial" w:hAnsi="Arial" w:cs="Arial"/>
          <w:sz w:val="22"/>
          <w:szCs w:val="22"/>
        </w:rPr>
        <w:t xml:space="preserve">: A review. </w:t>
      </w:r>
      <w:r w:rsidR="000F2366" w:rsidRPr="000F2366">
        <w:rPr>
          <w:rFonts w:ascii="Arial" w:hAnsi="Arial" w:cs="Arial"/>
          <w:sz w:val="22"/>
          <w:szCs w:val="22"/>
        </w:rPr>
        <w:t xml:space="preserve"> </w:t>
      </w:r>
      <w:proofErr w:type="gramStart"/>
      <w:r w:rsidRPr="000F2366">
        <w:rPr>
          <w:rFonts w:ascii="Arial" w:hAnsi="Arial" w:cs="Arial"/>
          <w:sz w:val="22"/>
          <w:szCs w:val="22"/>
        </w:rPr>
        <w:t>Rev Econ Stat</w:t>
      </w:r>
      <w:r w:rsidR="000F2366" w:rsidRPr="000F2366">
        <w:rPr>
          <w:rFonts w:ascii="Arial" w:hAnsi="Arial" w:cs="Arial"/>
          <w:sz w:val="22"/>
          <w:szCs w:val="22"/>
        </w:rPr>
        <w:t xml:space="preserve"> </w:t>
      </w:r>
      <w:r w:rsidRPr="000F2366">
        <w:rPr>
          <w:rFonts w:ascii="Arial" w:hAnsi="Arial" w:cs="Arial"/>
          <w:sz w:val="22"/>
          <w:szCs w:val="22"/>
        </w:rPr>
        <w:t>86(1):</w:t>
      </w:r>
      <w:r w:rsidR="000F2366" w:rsidRPr="000F2366">
        <w:rPr>
          <w:rFonts w:ascii="Arial" w:hAnsi="Arial" w:cs="Arial"/>
          <w:sz w:val="22"/>
          <w:szCs w:val="22"/>
        </w:rPr>
        <w:t xml:space="preserve"> </w:t>
      </w:r>
      <w:r w:rsidRPr="000F2366">
        <w:rPr>
          <w:rFonts w:ascii="Arial" w:hAnsi="Arial" w:cs="Arial"/>
          <w:sz w:val="22"/>
          <w:szCs w:val="22"/>
        </w:rPr>
        <w:t>4-29.</w:t>
      </w:r>
      <w:proofErr w:type="gramEnd"/>
    </w:p>
    <w:p w:rsidR="0090321F" w:rsidRPr="000F2366" w:rsidRDefault="0090321F" w:rsidP="000B5236">
      <w:pPr>
        <w:spacing w:line="480" w:lineRule="auto"/>
        <w:ind w:left="720" w:hanging="720"/>
        <w:rPr>
          <w:rFonts w:ascii="Arial" w:hAnsi="Arial" w:cs="Arial"/>
          <w:sz w:val="22"/>
          <w:szCs w:val="22"/>
        </w:rPr>
      </w:pPr>
      <w:r w:rsidRPr="000F2366">
        <w:rPr>
          <w:rFonts w:ascii="Arial" w:hAnsi="Arial" w:cs="Arial"/>
          <w:sz w:val="22"/>
          <w:szCs w:val="22"/>
        </w:rPr>
        <w:t>5</w:t>
      </w:r>
      <w:r w:rsidRPr="000F2366">
        <w:rPr>
          <w:rFonts w:ascii="Arial" w:hAnsi="Arial" w:cs="Arial"/>
          <w:sz w:val="22"/>
          <w:szCs w:val="22"/>
        </w:rPr>
        <w:tab/>
        <w:t>Schafer JL, Kang J</w:t>
      </w:r>
      <w:r w:rsidR="000F2366" w:rsidRPr="000F2366">
        <w:rPr>
          <w:rFonts w:ascii="Arial" w:hAnsi="Arial" w:cs="Arial"/>
          <w:sz w:val="22"/>
          <w:szCs w:val="22"/>
        </w:rPr>
        <w:t xml:space="preserve"> (2008)</w:t>
      </w:r>
      <w:r w:rsidRPr="000F2366">
        <w:rPr>
          <w:rFonts w:ascii="Arial" w:hAnsi="Arial" w:cs="Arial"/>
          <w:sz w:val="22"/>
          <w:szCs w:val="22"/>
        </w:rPr>
        <w:t xml:space="preserve">. </w:t>
      </w:r>
      <w:r w:rsidR="000F2366" w:rsidRPr="000F2366">
        <w:rPr>
          <w:rFonts w:ascii="Arial" w:hAnsi="Arial" w:cs="Arial"/>
          <w:sz w:val="22"/>
          <w:szCs w:val="22"/>
        </w:rPr>
        <w:t xml:space="preserve"> </w:t>
      </w:r>
      <w:r w:rsidRPr="000F2366">
        <w:rPr>
          <w:rFonts w:ascii="Arial" w:hAnsi="Arial" w:cs="Arial"/>
          <w:sz w:val="22"/>
          <w:szCs w:val="22"/>
        </w:rPr>
        <w:t xml:space="preserve">Average causal effects from nonrandomized studies: a practical guide and simulated example. </w:t>
      </w:r>
      <w:r w:rsidR="000F2366">
        <w:rPr>
          <w:rFonts w:ascii="Arial" w:hAnsi="Arial" w:cs="Arial"/>
          <w:sz w:val="22"/>
          <w:szCs w:val="22"/>
        </w:rPr>
        <w:t xml:space="preserve"> </w:t>
      </w:r>
      <w:proofErr w:type="spellStart"/>
      <w:r w:rsidRPr="000F2366">
        <w:rPr>
          <w:rFonts w:ascii="Arial" w:hAnsi="Arial" w:cs="Arial"/>
          <w:sz w:val="22"/>
          <w:szCs w:val="22"/>
        </w:rPr>
        <w:t>Psychol</w:t>
      </w:r>
      <w:proofErr w:type="spellEnd"/>
      <w:r w:rsidRPr="000F2366">
        <w:rPr>
          <w:rFonts w:ascii="Arial" w:hAnsi="Arial" w:cs="Arial"/>
          <w:sz w:val="22"/>
          <w:szCs w:val="22"/>
        </w:rPr>
        <w:t xml:space="preserve"> Methods</w:t>
      </w:r>
      <w:r w:rsidR="000F2366" w:rsidRPr="000F2366">
        <w:rPr>
          <w:rFonts w:ascii="Arial" w:hAnsi="Arial" w:cs="Arial"/>
          <w:sz w:val="22"/>
          <w:szCs w:val="22"/>
        </w:rPr>
        <w:t xml:space="preserve"> </w:t>
      </w:r>
      <w:r w:rsidRPr="000F2366">
        <w:rPr>
          <w:rFonts w:ascii="Arial" w:hAnsi="Arial" w:cs="Arial"/>
          <w:sz w:val="22"/>
          <w:szCs w:val="22"/>
        </w:rPr>
        <w:t>13(4):</w:t>
      </w:r>
      <w:r w:rsidR="000F2366" w:rsidRPr="000F2366">
        <w:rPr>
          <w:rFonts w:ascii="Arial" w:hAnsi="Arial" w:cs="Arial"/>
          <w:sz w:val="22"/>
          <w:szCs w:val="22"/>
        </w:rPr>
        <w:t xml:space="preserve"> </w:t>
      </w:r>
      <w:r w:rsidRPr="000F2366">
        <w:rPr>
          <w:rFonts w:ascii="Arial" w:hAnsi="Arial" w:cs="Arial"/>
          <w:sz w:val="22"/>
          <w:szCs w:val="22"/>
        </w:rPr>
        <w:t>279-313.</w:t>
      </w:r>
    </w:p>
    <w:p w:rsidR="0090321F" w:rsidRPr="000F2366" w:rsidRDefault="0090321F" w:rsidP="000B5236">
      <w:pPr>
        <w:spacing w:line="480" w:lineRule="auto"/>
        <w:ind w:left="720" w:hanging="720"/>
        <w:rPr>
          <w:rFonts w:ascii="Arial" w:hAnsi="Arial" w:cs="Arial"/>
          <w:sz w:val="22"/>
          <w:szCs w:val="22"/>
        </w:rPr>
        <w:sectPr w:rsidR="0090321F" w:rsidRPr="000F2366" w:rsidSect="002F37E8">
          <w:headerReference w:type="default" r:id="rId7"/>
          <w:footerReference w:type="default" r:id="rId8"/>
          <w:pgSz w:w="12240" w:h="15840"/>
          <w:pgMar w:top="1440" w:right="1440" w:bottom="1440" w:left="1440" w:header="720" w:footer="720" w:gutter="0"/>
          <w:lnNumType w:countBy="1"/>
          <w:cols w:space="720"/>
          <w:titlePg/>
          <w:docGrid w:linePitch="360"/>
        </w:sectPr>
      </w:pPr>
      <w:r w:rsidRPr="000F2366">
        <w:rPr>
          <w:rFonts w:ascii="Arial" w:hAnsi="Arial" w:cs="Arial"/>
          <w:sz w:val="22"/>
          <w:szCs w:val="22"/>
        </w:rPr>
        <w:t>6</w:t>
      </w:r>
      <w:r w:rsidRPr="000F2366">
        <w:rPr>
          <w:rFonts w:ascii="Arial" w:hAnsi="Arial" w:cs="Arial"/>
          <w:sz w:val="22"/>
          <w:szCs w:val="22"/>
        </w:rPr>
        <w:tab/>
        <w:t xml:space="preserve">Crump RK, </w:t>
      </w:r>
      <w:proofErr w:type="spellStart"/>
      <w:r w:rsidRPr="000F2366">
        <w:rPr>
          <w:rFonts w:ascii="Arial" w:hAnsi="Arial" w:cs="Arial"/>
          <w:sz w:val="22"/>
          <w:szCs w:val="22"/>
        </w:rPr>
        <w:t>Hotz</w:t>
      </w:r>
      <w:proofErr w:type="spellEnd"/>
      <w:r w:rsidRPr="000F2366">
        <w:rPr>
          <w:rFonts w:ascii="Arial" w:hAnsi="Arial" w:cs="Arial"/>
          <w:sz w:val="22"/>
          <w:szCs w:val="22"/>
        </w:rPr>
        <w:t xml:space="preserve"> VJ, </w:t>
      </w:r>
      <w:proofErr w:type="spellStart"/>
      <w:r w:rsidRPr="000F2366">
        <w:rPr>
          <w:rFonts w:ascii="Arial" w:hAnsi="Arial" w:cs="Arial"/>
          <w:sz w:val="22"/>
          <w:szCs w:val="22"/>
        </w:rPr>
        <w:t>Imbens</w:t>
      </w:r>
      <w:proofErr w:type="spellEnd"/>
      <w:r w:rsidRPr="000F2366">
        <w:rPr>
          <w:rFonts w:ascii="Arial" w:hAnsi="Arial" w:cs="Arial"/>
          <w:sz w:val="22"/>
          <w:szCs w:val="22"/>
        </w:rPr>
        <w:t xml:space="preserve"> GW, </w:t>
      </w:r>
      <w:proofErr w:type="spellStart"/>
      <w:proofErr w:type="gramStart"/>
      <w:r w:rsidRPr="000F2366">
        <w:rPr>
          <w:rFonts w:ascii="Arial" w:hAnsi="Arial" w:cs="Arial"/>
          <w:sz w:val="22"/>
          <w:szCs w:val="22"/>
        </w:rPr>
        <w:t>Mitnik</w:t>
      </w:r>
      <w:proofErr w:type="spellEnd"/>
      <w:proofErr w:type="gramEnd"/>
      <w:r w:rsidRPr="000F2366">
        <w:rPr>
          <w:rFonts w:ascii="Arial" w:hAnsi="Arial" w:cs="Arial"/>
          <w:sz w:val="22"/>
          <w:szCs w:val="22"/>
        </w:rPr>
        <w:t xml:space="preserve"> OA</w:t>
      </w:r>
      <w:r w:rsidR="000F2366" w:rsidRPr="000F2366">
        <w:rPr>
          <w:rFonts w:ascii="Arial" w:hAnsi="Arial" w:cs="Arial"/>
          <w:sz w:val="22"/>
          <w:szCs w:val="22"/>
        </w:rPr>
        <w:t xml:space="preserve"> (2009)</w:t>
      </w:r>
      <w:r w:rsidRPr="000F2366">
        <w:rPr>
          <w:rFonts w:ascii="Arial" w:hAnsi="Arial" w:cs="Arial"/>
          <w:sz w:val="22"/>
          <w:szCs w:val="22"/>
        </w:rPr>
        <w:t xml:space="preserve">. </w:t>
      </w:r>
      <w:r w:rsidR="000F2366" w:rsidRPr="000F2366">
        <w:rPr>
          <w:rFonts w:ascii="Arial" w:hAnsi="Arial" w:cs="Arial"/>
          <w:sz w:val="22"/>
          <w:szCs w:val="22"/>
        </w:rPr>
        <w:t xml:space="preserve"> </w:t>
      </w:r>
      <w:proofErr w:type="gramStart"/>
      <w:r w:rsidRPr="000F2366">
        <w:rPr>
          <w:rFonts w:ascii="Arial" w:hAnsi="Arial" w:cs="Arial"/>
          <w:sz w:val="22"/>
          <w:szCs w:val="22"/>
        </w:rPr>
        <w:t>Dealing with limited overlap in estimati</w:t>
      </w:r>
      <w:r w:rsidR="000F2366" w:rsidRPr="000F2366">
        <w:rPr>
          <w:rFonts w:ascii="Arial" w:hAnsi="Arial" w:cs="Arial"/>
          <w:sz w:val="22"/>
          <w:szCs w:val="22"/>
        </w:rPr>
        <w:t>on of average treatment effects.</w:t>
      </w:r>
      <w:proofErr w:type="gramEnd"/>
      <w:r w:rsidRPr="000F2366">
        <w:rPr>
          <w:rFonts w:ascii="Arial" w:hAnsi="Arial" w:cs="Arial"/>
          <w:sz w:val="22"/>
          <w:szCs w:val="22"/>
        </w:rPr>
        <w:t xml:space="preserve"> </w:t>
      </w:r>
      <w:r w:rsidR="000F2366" w:rsidRPr="000F2366">
        <w:rPr>
          <w:rFonts w:ascii="Arial" w:hAnsi="Arial" w:cs="Arial"/>
          <w:sz w:val="22"/>
          <w:szCs w:val="22"/>
        </w:rPr>
        <w:t xml:space="preserve"> </w:t>
      </w:r>
      <w:proofErr w:type="spellStart"/>
      <w:r w:rsidRPr="000F2366">
        <w:rPr>
          <w:rFonts w:ascii="Arial" w:hAnsi="Arial" w:cs="Arial"/>
          <w:sz w:val="22"/>
          <w:szCs w:val="22"/>
        </w:rPr>
        <w:t>Biometrika</w:t>
      </w:r>
      <w:proofErr w:type="spellEnd"/>
      <w:r w:rsidR="000F2366" w:rsidRPr="000F2366">
        <w:rPr>
          <w:rFonts w:ascii="Arial" w:hAnsi="Arial" w:cs="Arial"/>
          <w:sz w:val="22"/>
          <w:szCs w:val="22"/>
        </w:rPr>
        <w:t xml:space="preserve"> </w:t>
      </w:r>
      <w:r w:rsidR="009871BE" w:rsidRPr="000F2366">
        <w:rPr>
          <w:rFonts w:ascii="Arial" w:hAnsi="Arial" w:cs="Arial"/>
          <w:sz w:val="22"/>
          <w:szCs w:val="22"/>
        </w:rPr>
        <w:t>96(1):</w:t>
      </w:r>
      <w:r w:rsidR="000F2366" w:rsidRPr="000F2366">
        <w:rPr>
          <w:rFonts w:ascii="Arial" w:hAnsi="Arial" w:cs="Arial"/>
          <w:sz w:val="22"/>
          <w:szCs w:val="22"/>
        </w:rPr>
        <w:t xml:space="preserve"> </w:t>
      </w:r>
      <w:r w:rsidR="009871BE" w:rsidRPr="000F2366">
        <w:rPr>
          <w:rFonts w:ascii="Arial" w:hAnsi="Arial" w:cs="Arial"/>
          <w:sz w:val="22"/>
          <w:szCs w:val="22"/>
        </w:rPr>
        <w:t>187-199</w:t>
      </w:r>
    </w:p>
    <w:p w:rsidR="0090321F" w:rsidRPr="00BC16BD" w:rsidRDefault="0090321F">
      <w:pPr>
        <w:spacing w:line="480" w:lineRule="auto"/>
        <w:rPr>
          <w:rFonts w:ascii="Arial" w:hAnsi="Arial" w:cs="Arial"/>
          <w:b/>
          <w:sz w:val="22"/>
          <w:szCs w:val="22"/>
        </w:rPr>
      </w:pPr>
      <w:r w:rsidRPr="00BC16BD">
        <w:rPr>
          <w:rFonts w:ascii="Arial" w:hAnsi="Arial" w:cs="Arial"/>
          <w:b/>
          <w:sz w:val="22"/>
          <w:szCs w:val="22"/>
        </w:rPr>
        <w:lastRenderedPageBreak/>
        <w:t xml:space="preserve">Table </w:t>
      </w:r>
      <w:r w:rsidR="009871BE">
        <w:rPr>
          <w:rFonts w:ascii="Arial" w:hAnsi="Arial" w:cs="Arial"/>
          <w:b/>
          <w:sz w:val="22"/>
          <w:szCs w:val="22"/>
        </w:rPr>
        <w:t>S</w:t>
      </w:r>
      <w:r w:rsidRPr="00BC16BD">
        <w:rPr>
          <w:rFonts w:ascii="Arial" w:hAnsi="Arial" w:cs="Arial"/>
          <w:b/>
          <w:sz w:val="22"/>
          <w:szCs w:val="22"/>
        </w:rPr>
        <w:t>1.  Mechanisms at individual clinics in NA-ACCORD to assist patients in accessing prescription drugs in 2008 (N=22).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8"/>
        <w:gridCol w:w="900"/>
        <w:gridCol w:w="990"/>
      </w:tblGrid>
      <w:tr w:rsidR="0090321F" w:rsidRPr="00BC16BD" w:rsidTr="000B5236">
        <w:tc>
          <w:tcPr>
            <w:tcW w:w="7218" w:type="dxa"/>
            <w:tcBorders>
              <w:top w:val="single" w:sz="4" w:space="0" w:color="auto"/>
              <w:bottom w:val="single" w:sz="4" w:space="0" w:color="auto"/>
            </w:tcBorders>
          </w:tcPr>
          <w:p w:rsidR="0090321F" w:rsidRPr="00BC16BD" w:rsidRDefault="0090321F">
            <w:pPr>
              <w:spacing w:line="360" w:lineRule="auto"/>
              <w:jc w:val="center"/>
              <w:rPr>
                <w:rFonts w:ascii="Arial" w:hAnsi="Arial" w:cs="Arial"/>
                <w:b/>
                <w:sz w:val="22"/>
                <w:szCs w:val="22"/>
              </w:rPr>
            </w:pPr>
          </w:p>
        </w:tc>
        <w:tc>
          <w:tcPr>
            <w:tcW w:w="900" w:type="dxa"/>
            <w:tcBorders>
              <w:top w:val="single" w:sz="4" w:space="0" w:color="auto"/>
              <w:bottom w:val="single" w:sz="4" w:space="0" w:color="auto"/>
            </w:tcBorders>
          </w:tcPr>
          <w:p w:rsidR="0090321F" w:rsidRPr="00BC16BD" w:rsidRDefault="0090321F">
            <w:pPr>
              <w:spacing w:line="360" w:lineRule="auto"/>
              <w:jc w:val="center"/>
              <w:rPr>
                <w:rFonts w:ascii="Arial" w:hAnsi="Arial" w:cs="Arial"/>
                <w:b/>
                <w:sz w:val="22"/>
                <w:szCs w:val="22"/>
              </w:rPr>
            </w:pPr>
            <w:r w:rsidRPr="00BC16BD">
              <w:rPr>
                <w:rFonts w:ascii="Arial" w:hAnsi="Arial" w:cs="Arial"/>
                <w:b/>
                <w:sz w:val="22"/>
                <w:szCs w:val="22"/>
              </w:rPr>
              <w:t>N</w:t>
            </w:r>
          </w:p>
        </w:tc>
        <w:tc>
          <w:tcPr>
            <w:tcW w:w="990" w:type="dxa"/>
            <w:tcBorders>
              <w:top w:val="single" w:sz="4" w:space="0" w:color="auto"/>
              <w:bottom w:val="single" w:sz="4" w:space="0" w:color="auto"/>
            </w:tcBorders>
          </w:tcPr>
          <w:p w:rsidR="0090321F" w:rsidRPr="00BC16BD" w:rsidRDefault="0090321F">
            <w:pPr>
              <w:spacing w:line="360" w:lineRule="auto"/>
              <w:jc w:val="center"/>
              <w:rPr>
                <w:rFonts w:ascii="Arial" w:hAnsi="Arial" w:cs="Arial"/>
                <w:b/>
                <w:sz w:val="22"/>
                <w:szCs w:val="22"/>
              </w:rPr>
            </w:pPr>
            <w:r w:rsidRPr="00BC16BD">
              <w:rPr>
                <w:rFonts w:ascii="Arial" w:hAnsi="Arial" w:cs="Arial"/>
                <w:b/>
                <w:sz w:val="22"/>
                <w:szCs w:val="22"/>
              </w:rPr>
              <w:t>%</w:t>
            </w:r>
          </w:p>
        </w:tc>
      </w:tr>
      <w:tr w:rsidR="0090321F" w:rsidRPr="00BC16BD" w:rsidTr="000B5236">
        <w:tc>
          <w:tcPr>
            <w:tcW w:w="7218" w:type="dxa"/>
            <w:tcBorders>
              <w:top w:val="single" w:sz="4" w:space="0" w:color="auto"/>
            </w:tcBorders>
          </w:tcPr>
          <w:p w:rsidR="0090321F" w:rsidRPr="00BC16BD" w:rsidRDefault="0090321F">
            <w:pPr>
              <w:spacing w:line="360" w:lineRule="auto"/>
              <w:rPr>
                <w:rFonts w:ascii="Arial" w:hAnsi="Arial" w:cs="Arial"/>
                <w:sz w:val="22"/>
                <w:szCs w:val="22"/>
                <w:u w:val="single"/>
              </w:rPr>
            </w:pPr>
            <w:r w:rsidRPr="00BC16BD">
              <w:rPr>
                <w:rFonts w:ascii="Arial" w:hAnsi="Arial" w:cs="Arial"/>
                <w:sz w:val="22"/>
                <w:szCs w:val="22"/>
                <w:u w:val="single"/>
              </w:rPr>
              <w:t>Referral to:</w:t>
            </w:r>
          </w:p>
        </w:tc>
        <w:tc>
          <w:tcPr>
            <w:tcW w:w="900" w:type="dxa"/>
            <w:tcBorders>
              <w:top w:val="single" w:sz="4" w:space="0" w:color="auto"/>
            </w:tcBorders>
          </w:tcPr>
          <w:p w:rsidR="0090321F" w:rsidRPr="00BC16BD" w:rsidRDefault="0090321F">
            <w:pPr>
              <w:spacing w:line="360" w:lineRule="auto"/>
              <w:jc w:val="center"/>
              <w:rPr>
                <w:rFonts w:ascii="Arial" w:hAnsi="Arial" w:cs="Arial"/>
                <w:sz w:val="22"/>
                <w:szCs w:val="22"/>
              </w:rPr>
            </w:pPr>
          </w:p>
        </w:tc>
        <w:tc>
          <w:tcPr>
            <w:tcW w:w="990" w:type="dxa"/>
            <w:tcBorders>
              <w:top w:val="single" w:sz="4" w:space="0" w:color="auto"/>
            </w:tcBorders>
          </w:tcPr>
          <w:p w:rsidR="0090321F" w:rsidRPr="00BC16BD" w:rsidRDefault="0090321F">
            <w:pPr>
              <w:spacing w:line="360" w:lineRule="auto"/>
              <w:jc w:val="center"/>
              <w:rPr>
                <w:rFonts w:ascii="Arial" w:hAnsi="Arial" w:cs="Arial"/>
                <w:sz w:val="22"/>
                <w:szCs w:val="22"/>
              </w:rPr>
            </w:pPr>
          </w:p>
        </w:tc>
      </w:tr>
      <w:tr w:rsidR="0090321F" w:rsidRPr="00BC16BD" w:rsidTr="000B5236">
        <w:tc>
          <w:tcPr>
            <w:tcW w:w="7218" w:type="dxa"/>
          </w:tcPr>
          <w:p w:rsidR="0090321F" w:rsidRPr="00BC16BD" w:rsidRDefault="0090321F">
            <w:pPr>
              <w:spacing w:line="360" w:lineRule="auto"/>
              <w:ind w:left="180"/>
              <w:rPr>
                <w:rFonts w:ascii="Arial" w:hAnsi="Arial" w:cs="Arial"/>
                <w:sz w:val="22"/>
                <w:szCs w:val="22"/>
              </w:rPr>
            </w:pPr>
            <w:bookmarkStart w:id="0" w:name="_GoBack"/>
            <w:bookmarkEnd w:id="0"/>
            <w:r w:rsidRPr="00BC16BD">
              <w:rPr>
                <w:rFonts w:ascii="Arial" w:hAnsi="Arial" w:cs="Arial"/>
                <w:sz w:val="22"/>
                <w:szCs w:val="22"/>
              </w:rPr>
              <w:t>Outside (non-clinic) staff  within organization to provide help with obtaining drug coverage</w:t>
            </w:r>
          </w:p>
        </w:tc>
        <w:tc>
          <w:tcPr>
            <w:tcW w:w="90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8</w:t>
            </w:r>
          </w:p>
        </w:tc>
        <w:tc>
          <w:tcPr>
            <w:tcW w:w="99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36</w:t>
            </w:r>
          </w:p>
        </w:tc>
      </w:tr>
      <w:tr w:rsidR="0090321F" w:rsidRPr="00BC16BD" w:rsidTr="000B5236">
        <w:tc>
          <w:tcPr>
            <w:tcW w:w="7218" w:type="dxa"/>
          </w:tcPr>
          <w:p w:rsidR="0090321F" w:rsidRPr="00BC16BD" w:rsidRDefault="0090321F">
            <w:pPr>
              <w:spacing w:line="360" w:lineRule="auto"/>
              <w:ind w:left="180"/>
              <w:rPr>
                <w:rFonts w:ascii="Arial" w:hAnsi="Arial" w:cs="Arial"/>
                <w:sz w:val="22"/>
                <w:szCs w:val="22"/>
              </w:rPr>
            </w:pPr>
            <w:r w:rsidRPr="00BC16BD">
              <w:rPr>
                <w:rFonts w:ascii="Arial" w:hAnsi="Arial" w:cs="Arial"/>
                <w:sz w:val="22"/>
                <w:szCs w:val="22"/>
              </w:rPr>
              <w:t>Outside organizations that provide help with obtaining drug coverage</w:t>
            </w:r>
          </w:p>
        </w:tc>
        <w:tc>
          <w:tcPr>
            <w:tcW w:w="90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12</w:t>
            </w:r>
          </w:p>
        </w:tc>
        <w:tc>
          <w:tcPr>
            <w:tcW w:w="99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55</w:t>
            </w:r>
          </w:p>
        </w:tc>
      </w:tr>
      <w:tr w:rsidR="0090321F" w:rsidRPr="00BC16BD" w:rsidTr="000B5236">
        <w:tc>
          <w:tcPr>
            <w:tcW w:w="7218" w:type="dxa"/>
          </w:tcPr>
          <w:p w:rsidR="0090321F" w:rsidRPr="00BC16BD" w:rsidRDefault="0090321F">
            <w:pPr>
              <w:spacing w:line="360" w:lineRule="auto"/>
              <w:ind w:left="180"/>
              <w:rPr>
                <w:rFonts w:ascii="Arial" w:hAnsi="Arial" w:cs="Arial"/>
                <w:sz w:val="22"/>
                <w:szCs w:val="22"/>
              </w:rPr>
            </w:pPr>
            <w:r w:rsidRPr="00BC16BD">
              <w:rPr>
                <w:rFonts w:ascii="Arial" w:hAnsi="Arial" w:cs="Arial"/>
                <w:sz w:val="22"/>
                <w:szCs w:val="22"/>
              </w:rPr>
              <w:t>Patient assistance programs from individual drug companies</w:t>
            </w:r>
          </w:p>
        </w:tc>
        <w:tc>
          <w:tcPr>
            <w:tcW w:w="90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14</w:t>
            </w:r>
          </w:p>
        </w:tc>
        <w:tc>
          <w:tcPr>
            <w:tcW w:w="99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64</w:t>
            </w:r>
          </w:p>
        </w:tc>
      </w:tr>
      <w:tr w:rsidR="0090321F" w:rsidRPr="00BC16BD" w:rsidTr="000B5236">
        <w:tc>
          <w:tcPr>
            <w:tcW w:w="7218" w:type="dxa"/>
          </w:tcPr>
          <w:p w:rsidR="0090321F" w:rsidRPr="00BC16BD" w:rsidRDefault="0090321F">
            <w:pPr>
              <w:spacing w:line="360" w:lineRule="auto"/>
              <w:rPr>
                <w:rFonts w:ascii="Arial" w:hAnsi="Arial" w:cs="Arial"/>
                <w:sz w:val="22"/>
                <w:szCs w:val="22"/>
                <w:u w:val="single"/>
              </w:rPr>
            </w:pPr>
            <w:r w:rsidRPr="00BC16BD">
              <w:rPr>
                <w:rFonts w:ascii="Arial" w:hAnsi="Arial" w:cs="Arial"/>
                <w:sz w:val="22"/>
                <w:szCs w:val="22"/>
                <w:u w:val="single"/>
              </w:rPr>
              <w:t>Direct assistance with applying to</w:t>
            </w:r>
            <w:r w:rsidRPr="00BC16BD">
              <w:rPr>
                <w:rFonts w:ascii="Arial" w:hAnsi="Arial" w:cs="Arial"/>
                <w:sz w:val="22"/>
                <w:szCs w:val="22"/>
              </w:rPr>
              <w:t>:</w:t>
            </w:r>
          </w:p>
        </w:tc>
        <w:tc>
          <w:tcPr>
            <w:tcW w:w="900" w:type="dxa"/>
          </w:tcPr>
          <w:p w:rsidR="0090321F" w:rsidRPr="00BC16BD" w:rsidRDefault="0090321F">
            <w:pPr>
              <w:spacing w:line="360" w:lineRule="auto"/>
              <w:jc w:val="center"/>
              <w:rPr>
                <w:rFonts w:ascii="Arial" w:hAnsi="Arial" w:cs="Arial"/>
                <w:sz w:val="22"/>
                <w:szCs w:val="22"/>
              </w:rPr>
            </w:pPr>
          </w:p>
        </w:tc>
        <w:tc>
          <w:tcPr>
            <w:tcW w:w="990" w:type="dxa"/>
          </w:tcPr>
          <w:p w:rsidR="0090321F" w:rsidRPr="00BC16BD" w:rsidRDefault="0090321F">
            <w:pPr>
              <w:spacing w:line="360" w:lineRule="auto"/>
              <w:jc w:val="center"/>
              <w:rPr>
                <w:rFonts w:ascii="Arial" w:hAnsi="Arial" w:cs="Arial"/>
                <w:sz w:val="22"/>
                <w:szCs w:val="22"/>
              </w:rPr>
            </w:pPr>
          </w:p>
        </w:tc>
      </w:tr>
      <w:tr w:rsidR="0090321F" w:rsidRPr="00BC16BD" w:rsidTr="000B5236">
        <w:tc>
          <w:tcPr>
            <w:tcW w:w="7218" w:type="dxa"/>
          </w:tcPr>
          <w:p w:rsidR="0090321F" w:rsidRPr="00BC16BD" w:rsidRDefault="0090321F">
            <w:pPr>
              <w:spacing w:line="360" w:lineRule="auto"/>
              <w:ind w:left="180"/>
              <w:rPr>
                <w:rFonts w:ascii="Arial" w:eastAsiaTheme="majorEastAsia" w:hAnsi="Arial" w:cs="Arial"/>
                <w:b/>
                <w:bCs/>
                <w:color w:val="4F81BD" w:themeColor="accent1"/>
                <w:sz w:val="22"/>
                <w:szCs w:val="22"/>
              </w:rPr>
            </w:pPr>
            <w:r w:rsidRPr="00BC16BD">
              <w:rPr>
                <w:rFonts w:ascii="Arial" w:hAnsi="Arial" w:cs="Arial"/>
                <w:sz w:val="22"/>
                <w:szCs w:val="22"/>
              </w:rPr>
              <w:t>Medicare Part D</w:t>
            </w:r>
          </w:p>
        </w:tc>
        <w:tc>
          <w:tcPr>
            <w:tcW w:w="90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19</w:t>
            </w:r>
          </w:p>
        </w:tc>
        <w:tc>
          <w:tcPr>
            <w:tcW w:w="99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86</w:t>
            </w:r>
          </w:p>
        </w:tc>
      </w:tr>
      <w:tr w:rsidR="0090321F" w:rsidRPr="00BC16BD" w:rsidTr="000B5236">
        <w:tc>
          <w:tcPr>
            <w:tcW w:w="7218" w:type="dxa"/>
          </w:tcPr>
          <w:p w:rsidR="0090321F" w:rsidRPr="00BC16BD" w:rsidRDefault="0090321F">
            <w:pPr>
              <w:spacing w:line="360" w:lineRule="auto"/>
              <w:ind w:left="180"/>
              <w:rPr>
                <w:rFonts w:ascii="Arial" w:hAnsi="Arial" w:cs="Arial"/>
                <w:b/>
                <w:sz w:val="22"/>
                <w:szCs w:val="22"/>
              </w:rPr>
            </w:pPr>
            <w:r w:rsidRPr="00BC16BD">
              <w:rPr>
                <w:rFonts w:ascii="Arial" w:hAnsi="Arial" w:cs="Arial"/>
                <w:sz w:val="22"/>
                <w:szCs w:val="22"/>
              </w:rPr>
              <w:t>State Medicaid program</w:t>
            </w:r>
          </w:p>
        </w:tc>
        <w:tc>
          <w:tcPr>
            <w:tcW w:w="90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20</w:t>
            </w:r>
          </w:p>
        </w:tc>
        <w:tc>
          <w:tcPr>
            <w:tcW w:w="99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91</w:t>
            </w:r>
          </w:p>
        </w:tc>
      </w:tr>
      <w:tr w:rsidR="0090321F" w:rsidRPr="00BC16BD" w:rsidTr="000B5236">
        <w:tc>
          <w:tcPr>
            <w:tcW w:w="7218" w:type="dxa"/>
          </w:tcPr>
          <w:p w:rsidR="0090321F" w:rsidRPr="00BC16BD" w:rsidRDefault="0090321F">
            <w:pPr>
              <w:spacing w:line="360" w:lineRule="auto"/>
              <w:ind w:left="180"/>
              <w:rPr>
                <w:rFonts w:ascii="Arial" w:hAnsi="Arial" w:cs="Arial"/>
                <w:b/>
                <w:sz w:val="22"/>
                <w:szCs w:val="22"/>
              </w:rPr>
            </w:pPr>
            <w:r w:rsidRPr="00BC16BD">
              <w:rPr>
                <w:rFonts w:ascii="Arial" w:hAnsi="Arial" w:cs="Arial"/>
                <w:sz w:val="22"/>
                <w:szCs w:val="22"/>
              </w:rPr>
              <w:t>State AIDS Drug Assistance Program (ADAP)</w:t>
            </w:r>
          </w:p>
        </w:tc>
        <w:tc>
          <w:tcPr>
            <w:tcW w:w="90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21</w:t>
            </w:r>
          </w:p>
        </w:tc>
        <w:tc>
          <w:tcPr>
            <w:tcW w:w="99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96</w:t>
            </w:r>
          </w:p>
        </w:tc>
      </w:tr>
      <w:tr w:rsidR="0090321F" w:rsidRPr="00BC16BD" w:rsidTr="000B5236">
        <w:tc>
          <w:tcPr>
            <w:tcW w:w="7218" w:type="dxa"/>
          </w:tcPr>
          <w:p w:rsidR="0090321F" w:rsidRPr="00BC16BD" w:rsidRDefault="0090321F">
            <w:pPr>
              <w:spacing w:line="360" w:lineRule="auto"/>
              <w:ind w:left="180"/>
              <w:rPr>
                <w:rFonts w:ascii="Arial" w:hAnsi="Arial" w:cs="Arial"/>
                <w:sz w:val="22"/>
                <w:szCs w:val="22"/>
              </w:rPr>
            </w:pPr>
            <w:r w:rsidRPr="00BC16BD">
              <w:rPr>
                <w:rFonts w:ascii="Arial" w:hAnsi="Arial" w:cs="Arial"/>
                <w:sz w:val="22"/>
                <w:szCs w:val="22"/>
              </w:rPr>
              <w:t>Patient assistance programs from individual drug companies</w:t>
            </w:r>
          </w:p>
        </w:tc>
        <w:tc>
          <w:tcPr>
            <w:tcW w:w="90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19</w:t>
            </w:r>
          </w:p>
        </w:tc>
        <w:tc>
          <w:tcPr>
            <w:tcW w:w="99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86</w:t>
            </w:r>
          </w:p>
        </w:tc>
      </w:tr>
      <w:tr w:rsidR="0090321F" w:rsidRPr="00BC16BD" w:rsidTr="000B5236">
        <w:tc>
          <w:tcPr>
            <w:tcW w:w="7218" w:type="dxa"/>
          </w:tcPr>
          <w:p w:rsidR="0090321F" w:rsidRPr="00BC16BD" w:rsidRDefault="0090321F">
            <w:pPr>
              <w:spacing w:line="360" w:lineRule="auto"/>
              <w:ind w:left="180"/>
              <w:rPr>
                <w:rFonts w:ascii="Arial" w:hAnsi="Arial" w:cs="Arial"/>
                <w:sz w:val="22"/>
                <w:szCs w:val="22"/>
              </w:rPr>
            </w:pPr>
            <w:r w:rsidRPr="00BC16BD">
              <w:rPr>
                <w:rFonts w:ascii="Arial" w:hAnsi="Arial" w:cs="Arial"/>
                <w:sz w:val="22"/>
                <w:szCs w:val="22"/>
              </w:rPr>
              <w:t>Patient assistance program from local pharmacy</w:t>
            </w:r>
          </w:p>
        </w:tc>
        <w:tc>
          <w:tcPr>
            <w:tcW w:w="90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8</w:t>
            </w:r>
          </w:p>
        </w:tc>
        <w:tc>
          <w:tcPr>
            <w:tcW w:w="99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36</w:t>
            </w:r>
          </w:p>
        </w:tc>
      </w:tr>
      <w:tr w:rsidR="0090321F" w:rsidRPr="00BC16BD" w:rsidTr="000B5236">
        <w:tc>
          <w:tcPr>
            <w:tcW w:w="7218" w:type="dxa"/>
          </w:tcPr>
          <w:p w:rsidR="0090321F" w:rsidRPr="00BC16BD" w:rsidRDefault="0090321F">
            <w:pPr>
              <w:spacing w:line="360" w:lineRule="auto"/>
              <w:ind w:left="180"/>
              <w:rPr>
                <w:rFonts w:ascii="Arial" w:eastAsiaTheme="majorEastAsia" w:hAnsi="Arial" w:cs="Arial"/>
                <w:b/>
                <w:bCs/>
                <w:color w:val="4F81BD" w:themeColor="accent1"/>
                <w:sz w:val="22"/>
                <w:szCs w:val="22"/>
              </w:rPr>
            </w:pPr>
            <w:r w:rsidRPr="00BC16BD">
              <w:rPr>
                <w:rFonts w:ascii="Arial" w:hAnsi="Arial" w:cs="Arial"/>
                <w:sz w:val="22"/>
                <w:szCs w:val="22"/>
              </w:rPr>
              <w:t>AIDS Clinical Trial Group</w:t>
            </w:r>
          </w:p>
        </w:tc>
        <w:tc>
          <w:tcPr>
            <w:tcW w:w="90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15</w:t>
            </w:r>
          </w:p>
        </w:tc>
        <w:tc>
          <w:tcPr>
            <w:tcW w:w="99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68</w:t>
            </w:r>
          </w:p>
        </w:tc>
      </w:tr>
      <w:tr w:rsidR="0090321F" w:rsidRPr="00BC16BD" w:rsidTr="000B5236">
        <w:tc>
          <w:tcPr>
            <w:tcW w:w="7218" w:type="dxa"/>
          </w:tcPr>
          <w:p w:rsidR="0090321F" w:rsidRPr="00BC16BD" w:rsidRDefault="0090321F">
            <w:pPr>
              <w:spacing w:line="360" w:lineRule="auto"/>
              <w:ind w:left="180"/>
              <w:rPr>
                <w:rFonts w:ascii="Arial" w:hAnsi="Arial" w:cs="Arial"/>
                <w:sz w:val="22"/>
                <w:szCs w:val="22"/>
              </w:rPr>
            </w:pPr>
            <w:r w:rsidRPr="00BC16BD">
              <w:rPr>
                <w:rFonts w:ascii="Arial" w:hAnsi="Arial" w:cs="Arial"/>
                <w:sz w:val="22"/>
                <w:szCs w:val="22"/>
              </w:rPr>
              <w:t>Other federal or state program</w:t>
            </w:r>
          </w:p>
        </w:tc>
        <w:tc>
          <w:tcPr>
            <w:tcW w:w="90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2</w:t>
            </w:r>
          </w:p>
        </w:tc>
        <w:tc>
          <w:tcPr>
            <w:tcW w:w="990" w:type="dxa"/>
          </w:tcPr>
          <w:p w:rsidR="0090321F" w:rsidRPr="00BC16BD" w:rsidRDefault="0090321F">
            <w:pPr>
              <w:spacing w:line="360" w:lineRule="auto"/>
              <w:jc w:val="center"/>
              <w:rPr>
                <w:rFonts w:ascii="Arial" w:hAnsi="Arial" w:cs="Arial"/>
                <w:sz w:val="22"/>
                <w:szCs w:val="22"/>
              </w:rPr>
            </w:pPr>
            <w:r w:rsidRPr="00BC16BD">
              <w:rPr>
                <w:rFonts w:ascii="Arial" w:hAnsi="Arial" w:cs="Arial"/>
                <w:sz w:val="22"/>
                <w:szCs w:val="22"/>
              </w:rPr>
              <w:t>9</w:t>
            </w:r>
          </w:p>
        </w:tc>
      </w:tr>
      <w:tr w:rsidR="0090321F" w:rsidRPr="00BC16BD" w:rsidTr="000B5236">
        <w:tc>
          <w:tcPr>
            <w:tcW w:w="7218" w:type="dxa"/>
          </w:tcPr>
          <w:p w:rsidR="0090321F" w:rsidRPr="00BC16BD" w:rsidRDefault="0090321F">
            <w:pPr>
              <w:spacing w:line="360" w:lineRule="auto"/>
              <w:ind w:left="180"/>
              <w:rPr>
                <w:rFonts w:ascii="Arial" w:hAnsi="Arial" w:cs="Arial"/>
                <w:sz w:val="22"/>
                <w:szCs w:val="22"/>
              </w:rPr>
            </w:pPr>
            <w:r w:rsidRPr="00BC16BD">
              <w:rPr>
                <w:rFonts w:ascii="Arial" w:hAnsi="Arial" w:cs="Arial"/>
                <w:sz w:val="22"/>
                <w:szCs w:val="22"/>
              </w:rPr>
              <w:t>Other local program</w:t>
            </w:r>
          </w:p>
        </w:tc>
        <w:tc>
          <w:tcPr>
            <w:tcW w:w="900" w:type="dxa"/>
          </w:tcPr>
          <w:p w:rsidR="0090321F" w:rsidRPr="00BC16BD" w:rsidRDefault="0090321F" w:rsidP="000B5236">
            <w:pPr>
              <w:spacing w:line="360" w:lineRule="auto"/>
              <w:jc w:val="center"/>
              <w:rPr>
                <w:rFonts w:ascii="Arial" w:hAnsi="Arial" w:cs="Arial"/>
                <w:sz w:val="22"/>
                <w:szCs w:val="22"/>
              </w:rPr>
            </w:pPr>
            <w:r w:rsidRPr="00BC16BD">
              <w:rPr>
                <w:rFonts w:ascii="Arial" w:hAnsi="Arial" w:cs="Arial"/>
                <w:sz w:val="22"/>
                <w:szCs w:val="22"/>
              </w:rPr>
              <w:t>2</w:t>
            </w:r>
          </w:p>
        </w:tc>
        <w:tc>
          <w:tcPr>
            <w:tcW w:w="990" w:type="dxa"/>
          </w:tcPr>
          <w:p w:rsidR="0090321F" w:rsidRPr="00BC16BD" w:rsidRDefault="0090321F" w:rsidP="000B5236">
            <w:pPr>
              <w:spacing w:line="360" w:lineRule="auto"/>
              <w:jc w:val="center"/>
              <w:rPr>
                <w:rFonts w:ascii="Arial" w:hAnsi="Arial" w:cs="Arial"/>
                <w:sz w:val="22"/>
                <w:szCs w:val="22"/>
              </w:rPr>
            </w:pPr>
            <w:r w:rsidRPr="00BC16BD">
              <w:rPr>
                <w:rFonts w:ascii="Arial" w:hAnsi="Arial" w:cs="Arial"/>
                <w:sz w:val="22"/>
                <w:szCs w:val="22"/>
              </w:rPr>
              <w:t>9</w:t>
            </w:r>
          </w:p>
        </w:tc>
      </w:tr>
      <w:tr w:rsidR="0090321F" w:rsidRPr="00BC16BD" w:rsidTr="000B5236">
        <w:tc>
          <w:tcPr>
            <w:tcW w:w="7218" w:type="dxa"/>
            <w:tcBorders>
              <w:bottom w:val="single" w:sz="4" w:space="0" w:color="auto"/>
            </w:tcBorders>
          </w:tcPr>
          <w:p w:rsidR="0090321F" w:rsidRPr="00BC16BD" w:rsidRDefault="0090321F">
            <w:pPr>
              <w:spacing w:line="360" w:lineRule="auto"/>
              <w:ind w:left="180"/>
              <w:rPr>
                <w:rFonts w:ascii="Arial" w:hAnsi="Arial" w:cs="Arial"/>
                <w:sz w:val="22"/>
                <w:szCs w:val="22"/>
              </w:rPr>
            </w:pPr>
            <w:r w:rsidRPr="00BC16BD">
              <w:rPr>
                <w:rFonts w:ascii="Arial" w:hAnsi="Arial" w:cs="Arial"/>
                <w:sz w:val="22"/>
                <w:szCs w:val="22"/>
              </w:rPr>
              <w:t>Other clinical trials</w:t>
            </w:r>
          </w:p>
        </w:tc>
        <w:tc>
          <w:tcPr>
            <w:tcW w:w="900" w:type="dxa"/>
            <w:tcBorders>
              <w:bottom w:val="single" w:sz="4" w:space="0" w:color="auto"/>
            </w:tcBorders>
          </w:tcPr>
          <w:p w:rsidR="0090321F" w:rsidRPr="00BC16BD" w:rsidRDefault="0090321F" w:rsidP="000B5236">
            <w:pPr>
              <w:spacing w:line="360" w:lineRule="auto"/>
              <w:jc w:val="center"/>
              <w:rPr>
                <w:rFonts w:ascii="Arial" w:hAnsi="Arial" w:cs="Arial"/>
                <w:sz w:val="22"/>
                <w:szCs w:val="22"/>
              </w:rPr>
            </w:pPr>
            <w:r w:rsidRPr="00BC16BD">
              <w:rPr>
                <w:rFonts w:ascii="Arial" w:hAnsi="Arial" w:cs="Arial"/>
                <w:sz w:val="22"/>
                <w:szCs w:val="22"/>
              </w:rPr>
              <w:t>3</w:t>
            </w:r>
          </w:p>
        </w:tc>
        <w:tc>
          <w:tcPr>
            <w:tcW w:w="990" w:type="dxa"/>
            <w:tcBorders>
              <w:bottom w:val="single" w:sz="4" w:space="0" w:color="auto"/>
            </w:tcBorders>
          </w:tcPr>
          <w:p w:rsidR="0090321F" w:rsidRPr="00BC16BD" w:rsidRDefault="0090321F" w:rsidP="000B5236">
            <w:pPr>
              <w:spacing w:line="360" w:lineRule="auto"/>
              <w:jc w:val="center"/>
              <w:rPr>
                <w:rFonts w:ascii="Arial" w:hAnsi="Arial" w:cs="Arial"/>
                <w:sz w:val="22"/>
                <w:szCs w:val="22"/>
              </w:rPr>
            </w:pPr>
            <w:r w:rsidRPr="00BC16BD">
              <w:rPr>
                <w:rFonts w:ascii="Arial" w:hAnsi="Arial" w:cs="Arial"/>
                <w:sz w:val="22"/>
                <w:szCs w:val="22"/>
              </w:rPr>
              <w:t>14</w:t>
            </w:r>
          </w:p>
        </w:tc>
      </w:tr>
    </w:tbl>
    <w:p w:rsidR="0090321F" w:rsidRPr="00BC16BD" w:rsidRDefault="0090321F">
      <w:pPr>
        <w:spacing w:line="480" w:lineRule="auto"/>
        <w:rPr>
          <w:rFonts w:ascii="Arial" w:hAnsi="Arial" w:cs="Arial"/>
          <w:sz w:val="22"/>
          <w:szCs w:val="22"/>
        </w:rPr>
      </w:pPr>
      <w:r w:rsidRPr="00BC16BD">
        <w:rPr>
          <w:rFonts w:ascii="Arial" w:hAnsi="Arial" w:cs="Arial"/>
          <w:sz w:val="22"/>
          <w:szCs w:val="22"/>
        </w:rPr>
        <w:t xml:space="preserve">The median number of procedures for referrals for the study population was 4 (interquartile range [IQR] 3-5) and for direct assistance was 0 (IQR 0-1).  </w:t>
      </w:r>
    </w:p>
    <w:p w:rsidR="0090321F" w:rsidRPr="00BC16BD" w:rsidRDefault="0090321F" w:rsidP="000B5236">
      <w:pPr>
        <w:spacing w:line="480" w:lineRule="auto"/>
        <w:rPr>
          <w:rFonts w:ascii="Arial" w:hAnsi="Arial" w:cs="Arial"/>
          <w:sz w:val="20"/>
          <w:szCs w:val="20"/>
        </w:rPr>
      </w:pPr>
      <w:r w:rsidRPr="00BC16BD">
        <w:rPr>
          <w:rFonts w:ascii="Arial" w:hAnsi="Arial" w:cs="Arial"/>
          <w:sz w:val="22"/>
          <w:szCs w:val="22"/>
        </w:rPr>
        <w:t>Findings were similar for mechanisms existing in 2001.</w:t>
      </w:r>
    </w:p>
    <w:p w:rsidR="0090321F" w:rsidRPr="00BC16BD" w:rsidRDefault="0090321F">
      <w:pPr>
        <w:rPr>
          <w:rFonts w:ascii="Arial" w:hAnsi="Arial" w:cs="Arial"/>
          <w:sz w:val="20"/>
          <w:szCs w:val="20"/>
        </w:rPr>
      </w:pPr>
      <w:r w:rsidRPr="00BC16BD">
        <w:rPr>
          <w:rFonts w:ascii="Arial" w:hAnsi="Arial" w:cs="Arial"/>
          <w:sz w:val="20"/>
          <w:szCs w:val="20"/>
        </w:rPr>
        <w:br w:type="page"/>
      </w:r>
    </w:p>
    <w:p w:rsidR="0090321F" w:rsidRPr="00BC16BD" w:rsidRDefault="0090321F" w:rsidP="000B5236">
      <w:pPr>
        <w:spacing w:line="480" w:lineRule="auto"/>
        <w:rPr>
          <w:rFonts w:ascii="Arial" w:hAnsi="Arial" w:cs="Arial"/>
          <w:b/>
          <w:sz w:val="22"/>
          <w:szCs w:val="22"/>
        </w:rPr>
        <w:sectPr w:rsidR="0090321F" w:rsidRPr="00BC16BD" w:rsidSect="000B5236">
          <w:pgSz w:w="12240" w:h="15840"/>
          <w:pgMar w:top="1440" w:right="1440" w:bottom="1440" w:left="1440" w:header="720" w:footer="720" w:gutter="0"/>
          <w:cols w:space="720"/>
          <w:titlePg/>
          <w:docGrid w:linePitch="360"/>
        </w:sectPr>
      </w:pPr>
    </w:p>
    <w:p w:rsidR="0090321F" w:rsidRPr="00BC16BD" w:rsidRDefault="0090321F" w:rsidP="000B5236">
      <w:pPr>
        <w:spacing w:line="480" w:lineRule="auto"/>
        <w:rPr>
          <w:rFonts w:ascii="Arial" w:hAnsi="Arial" w:cs="Arial"/>
          <w:b/>
          <w:sz w:val="22"/>
          <w:szCs w:val="22"/>
        </w:rPr>
      </w:pPr>
      <w:r w:rsidRPr="00BC16BD">
        <w:rPr>
          <w:rFonts w:ascii="Arial" w:hAnsi="Arial" w:cs="Arial"/>
          <w:b/>
          <w:sz w:val="22"/>
          <w:szCs w:val="22"/>
        </w:rPr>
        <w:lastRenderedPageBreak/>
        <w:t xml:space="preserve">Table </w:t>
      </w:r>
      <w:r w:rsidR="009871BE">
        <w:rPr>
          <w:rFonts w:ascii="Arial" w:hAnsi="Arial" w:cs="Arial"/>
          <w:b/>
          <w:sz w:val="22"/>
          <w:szCs w:val="22"/>
        </w:rPr>
        <w:t>S</w:t>
      </w:r>
      <w:r w:rsidRPr="00BC16BD">
        <w:rPr>
          <w:rFonts w:ascii="Arial" w:hAnsi="Arial" w:cs="Arial"/>
          <w:b/>
          <w:sz w:val="22"/>
          <w:szCs w:val="22"/>
        </w:rPr>
        <w:t>2.  Sensitivity analyses for association between state ADAP features at time of eligibility and outcomes.</w:t>
      </w:r>
    </w:p>
    <w:tbl>
      <w:tblPr>
        <w:tblW w:w="13088" w:type="dxa"/>
        <w:tblInd w:w="88" w:type="dxa"/>
        <w:tblLook w:val="04A0"/>
      </w:tblPr>
      <w:tblGrid>
        <w:gridCol w:w="5150"/>
        <w:gridCol w:w="1455"/>
        <w:gridCol w:w="1257"/>
        <w:gridCol w:w="1347"/>
        <w:gridCol w:w="1347"/>
        <w:gridCol w:w="1257"/>
        <w:gridCol w:w="1275"/>
      </w:tblGrid>
      <w:tr w:rsidR="0090321F" w:rsidRPr="00BC16BD" w:rsidTr="000B5236">
        <w:trPr>
          <w:trHeight w:val="300"/>
        </w:trPr>
        <w:tc>
          <w:tcPr>
            <w:tcW w:w="5150" w:type="dxa"/>
            <w:tcBorders>
              <w:top w:val="single" w:sz="4" w:space="0" w:color="auto"/>
              <w:left w:val="nil"/>
              <w:bottom w:val="nil"/>
              <w:right w:val="nil"/>
            </w:tcBorders>
            <w:shd w:val="clear" w:color="auto" w:fill="auto"/>
            <w:noWrap/>
            <w:vAlign w:val="bottom"/>
            <w:hideMark/>
          </w:tcPr>
          <w:p w:rsidR="0090321F" w:rsidRPr="00BC16BD" w:rsidRDefault="0090321F" w:rsidP="000B5236">
            <w:pPr>
              <w:spacing w:line="360" w:lineRule="auto"/>
              <w:rPr>
                <w:rFonts w:ascii="Arial" w:hAnsi="Arial" w:cs="Arial"/>
                <w:b/>
                <w:bCs/>
                <w:color w:val="000000"/>
              </w:rPr>
            </w:pPr>
            <w:r w:rsidRPr="00BC16BD">
              <w:rPr>
                <w:rFonts w:ascii="Arial" w:hAnsi="Arial" w:cs="Arial"/>
                <w:b/>
                <w:bCs/>
                <w:color w:val="000000"/>
                <w:sz w:val="22"/>
                <w:szCs w:val="22"/>
              </w:rPr>
              <w:t> </w:t>
            </w:r>
          </w:p>
        </w:tc>
        <w:tc>
          <w:tcPr>
            <w:tcW w:w="1455" w:type="dxa"/>
            <w:tcBorders>
              <w:top w:val="single" w:sz="4" w:space="0" w:color="auto"/>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N,</w:t>
            </w:r>
          </w:p>
        </w:tc>
        <w:tc>
          <w:tcPr>
            <w:tcW w:w="1257" w:type="dxa"/>
            <w:tcBorders>
              <w:top w:val="single" w:sz="4" w:space="0" w:color="auto"/>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N, </w:t>
            </w:r>
          </w:p>
        </w:tc>
        <w:tc>
          <w:tcPr>
            <w:tcW w:w="2694" w:type="dxa"/>
            <w:gridSpan w:val="2"/>
            <w:tcBorders>
              <w:top w:val="single" w:sz="4" w:space="0" w:color="auto"/>
              <w:left w:val="nil"/>
              <w:bottom w:val="nil"/>
              <w:right w:val="nil"/>
            </w:tcBorders>
            <w:shd w:val="clear" w:color="auto" w:fill="auto"/>
            <w:vAlign w:val="bottom"/>
            <w:hideMark/>
          </w:tcPr>
          <w:p w:rsidR="0090321F" w:rsidRPr="00BC16BD" w:rsidRDefault="0090321F" w:rsidP="000B5236">
            <w:pPr>
              <w:spacing w:line="360" w:lineRule="auto"/>
              <w:jc w:val="center"/>
              <w:rPr>
                <w:rFonts w:ascii="Arial" w:hAnsi="Arial" w:cs="Arial"/>
                <w:b/>
                <w:bCs/>
                <w:color w:val="000000"/>
                <w:u w:val="single"/>
              </w:rPr>
            </w:pPr>
            <w:r w:rsidRPr="00BC16BD">
              <w:rPr>
                <w:rFonts w:ascii="Arial" w:hAnsi="Arial" w:cs="Arial"/>
                <w:b/>
                <w:bCs/>
                <w:color w:val="000000"/>
                <w:sz w:val="22"/>
                <w:szCs w:val="22"/>
                <w:u w:val="single"/>
              </w:rPr>
              <w:t>Outcome: 6-month ART initiation</w:t>
            </w:r>
          </w:p>
        </w:tc>
        <w:tc>
          <w:tcPr>
            <w:tcW w:w="2532" w:type="dxa"/>
            <w:gridSpan w:val="2"/>
            <w:tcBorders>
              <w:top w:val="single" w:sz="4" w:space="0" w:color="auto"/>
              <w:left w:val="nil"/>
              <w:bottom w:val="nil"/>
              <w:right w:val="nil"/>
            </w:tcBorders>
            <w:shd w:val="clear" w:color="auto" w:fill="auto"/>
            <w:vAlign w:val="bottom"/>
            <w:hideMark/>
          </w:tcPr>
          <w:p w:rsidR="0090321F" w:rsidRPr="00BC16BD" w:rsidRDefault="0090321F" w:rsidP="000B5236">
            <w:pPr>
              <w:spacing w:line="360" w:lineRule="auto"/>
              <w:jc w:val="center"/>
              <w:rPr>
                <w:rFonts w:ascii="Arial" w:hAnsi="Arial" w:cs="Arial"/>
                <w:b/>
                <w:bCs/>
                <w:color w:val="000000"/>
                <w:u w:val="single"/>
              </w:rPr>
            </w:pPr>
            <w:r w:rsidRPr="00BC16BD">
              <w:rPr>
                <w:rFonts w:ascii="Arial" w:hAnsi="Arial" w:cs="Arial"/>
                <w:b/>
                <w:bCs/>
                <w:color w:val="000000"/>
                <w:sz w:val="22"/>
                <w:szCs w:val="22"/>
                <w:u w:val="single"/>
              </w:rPr>
              <w:t xml:space="preserve">Outcome: 1-year </w:t>
            </w:r>
            <w:proofErr w:type="spellStart"/>
            <w:r w:rsidRPr="00BC16BD">
              <w:rPr>
                <w:rFonts w:ascii="Arial" w:hAnsi="Arial" w:cs="Arial"/>
                <w:b/>
                <w:bCs/>
                <w:color w:val="000000"/>
                <w:sz w:val="22"/>
                <w:szCs w:val="22"/>
                <w:u w:val="single"/>
              </w:rPr>
              <w:t>virologic</w:t>
            </w:r>
            <w:proofErr w:type="spellEnd"/>
            <w:r w:rsidRPr="00BC16BD">
              <w:rPr>
                <w:rFonts w:ascii="Arial" w:hAnsi="Arial" w:cs="Arial"/>
                <w:b/>
                <w:bCs/>
                <w:color w:val="000000"/>
                <w:sz w:val="22"/>
                <w:szCs w:val="22"/>
                <w:u w:val="single"/>
              </w:rPr>
              <w:t xml:space="preserve"> suppression</w:t>
            </w:r>
          </w:p>
        </w:tc>
      </w:tr>
      <w:tr w:rsidR="0090321F" w:rsidRPr="00BC16BD" w:rsidTr="000B5236">
        <w:trPr>
          <w:trHeight w:val="300"/>
        </w:trPr>
        <w:tc>
          <w:tcPr>
            <w:tcW w:w="5150" w:type="dxa"/>
            <w:tcBorders>
              <w:top w:val="nil"/>
              <w:left w:val="nil"/>
              <w:bottom w:val="single" w:sz="4" w:space="0" w:color="auto"/>
              <w:right w:val="nil"/>
            </w:tcBorders>
            <w:shd w:val="clear" w:color="auto" w:fill="auto"/>
            <w:noWrap/>
            <w:vAlign w:val="bottom"/>
            <w:hideMark/>
          </w:tcPr>
          <w:p w:rsidR="0090321F" w:rsidRPr="00BC16BD" w:rsidRDefault="0090321F" w:rsidP="000B5236">
            <w:pPr>
              <w:spacing w:line="360" w:lineRule="auto"/>
              <w:rPr>
                <w:rFonts w:ascii="Arial" w:hAnsi="Arial" w:cs="Arial"/>
                <w:color w:val="000000"/>
              </w:rPr>
            </w:pPr>
            <w:r w:rsidRPr="00BC16BD">
              <w:rPr>
                <w:rFonts w:ascii="Arial" w:hAnsi="Arial" w:cs="Arial"/>
                <w:color w:val="000000"/>
                <w:sz w:val="22"/>
                <w:szCs w:val="22"/>
              </w:rPr>
              <w:t> </w:t>
            </w:r>
          </w:p>
        </w:tc>
        <w:tc>
          <w:tcPr>
            <w:tcW w:w="1455" w:type="dxa"/>
            <w:tcBorders>
              <w:top w:val="nil"/>
              <w:left w:val="nil"/>
              <w:bottom w:val="single" w:sz="4" w:space="0" w:color="auto"/>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unexposed</w:t>
            </w:r>
          </w:p>
        </w:tc>
        <w:tc>
          <w:tcPr>
            <w:tcW w:w="1257" w:type="dxa"/>
            <w:tcBorders>
              <w:top w:val="nil"/>
              <w:left w:val="nil"/>
              <w:bottom w:val="single" w:sz="4" w:space="0" w:color="auto"/>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exposed</w:t>
            </w:r>
          </w:p>
        </w:tc>
        <w:tc>
          <w:tcPr>
            <w:tcW w:w="1347" w:type="dxa"/>
            <w:tcBorders>
              <w:top w:val="nil"/>
              <w:left w:val="nil"/>
              <w:bottom w:val="single" w:sz="4" w:space="0" w:color="auto"/>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HR</w:t>
            </w:r>
          </w:p>
        </w:tc>
        <w:tc>
          <w:tcPr>
            <w:tcW w:w="1347" w:type="dxa"/>
            <w:tcBorders>
              <w:top w:val="nil"/>
              <w:left w:val="nil"/>
              <w:bottom w:val="single" w:sz="4" w:space="0" w:color="auto"/>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95% CI</w:t>
            </w:r>
          </w:p>
        </w:tc>
        <w:tc>
          <w:tcPr>
            <w:tcW w:w="1257" w:type="dxa"/>
            <w:tcBorders>
              <w:top w:val="nil"/>
              <w:left w:val="nil"/>
              <w:bottom w:val="single" w:sz="4" w:space="0" w:color="auto"/>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HR</w:t>
            </w:r>
          </w:p>
        </w:tc>
        <w:tc>
          <w:tcPr>
            <w:tcW w:w="1275" w:type="dxa"/>
            <w:tcBorders>
              <w:top w:val="nil"/>
              <w:left w:val="nil"/>
              <w:bottom w:val="single" w:sz="4" w:space="0" w:color="auto"/>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95% CI</w:t>
            </w:r>
          </w:p>
        </w:tc>
      </w:tr>
      <w:tr w:rsidR="0090321F" w:rsidRPr="00BC16BD" w:rsidTr="000B5236">
        <w:trPr>
          <w:trHeight w:val="300"/>
        </w:trPr>
        <w:tc>
          <w:tcPr>
            <w:tcW w:w="13088" w:type="dxa"/>
            <w:gridSpan w:val="7"/>
            <w:tcBorders>
              <w:top w:val="nil"/>
              <w:left w:val="nil"/>
              <w:bottom w:val="nil"/>
              <w:right w:val="nil"/>
            </w:tcBorders>
            <w:shd w:val="clear" w:color="auto" w:fill="auto"/>
            <w:noWrap/>
            <w:vAlign w:val="bottom"/>
            <w:hideMark/>
          </w:tcPr>
          <w:p w:rsidR="0090321F" w:rsidRPr="00BC16BD" w:rsidRDefault="0090321F" w:rsidP="000B5236">
            <w:pPr>
              <w:spacing w:line="360" w:lineRule="auto"/>
              <w:rPr>
                <w:rFonts w:ascii="Arial" w:hAnsi="Arial" w:cs="Arial"/>
                <w:b/>
                <w:bCs/>
                <w:color w:val="000000"/>
                <w:u w:val="single"/>
              </w:rPr>
            </w:pPr>
            <w:r w:rsidRPr="00BC16BD">
              <w:rPr>
                <w:rFonts w:ascii="Arial" w:hAnsi="Arial" w:cs="Arial"/>
                <w:b/>
                <w:bCs/>
                <w:color w:val="000000"/>
                <w:sz w:val="22"/>
                <w:szCs w:val="22"/>
                <w:u w:val="single"/>
              </w:rPr>
              <w:t>No state contribution to the ADAP budget (versus any contribution)</w:t>
            </w:r>
          </w:p>
        </w:tc>
      </w:tr>
      <w:tr w:rsidR="0090321F" w:rsidRPr="00BC16BD" w:rsidTr="000B5236">
        <w:trPr>
          <w:trHeight w:val="300"/>
        </w:trPr>
        <w:tc>
          <w:tcPr>
            <w:tcW w:w="5150" w:type="dxa"/>
            <w:tcBorders>
              <w:top w:val="nil"/>
              <w:left w:val="nil"/>
              <w:bottom w:val="nil"/>
              <w:right w:val="nil"/>
            </w:tcBorders>
            <w:shd w:val="clear" w:color="auto" w:fill="auto"/>
            <w:noWrap/>
            <w:vAlign w:val="bottom"/>
            <w:hideMark/>
          </w:tcPr>
          <w:p w:rsidR="0090321F" w:rsidRPr="00BC16BD" w:rsidRDefault="0090321F">
            <w:pPr>
              <w:spacing w:line="360" w:lineRule="auto"/>
              <w:rPr>
                <w:rFonts w:ascii="Arial" w:eastAsiaTheme="majorEastAsia" w:hAnsi="Arial" w:cs="Arial"/>
                <w:b/>
                <w:bCs/>
                <w:color w:val="000000"/>
              </w:rPr>
            </w:pPr>
            <w:r w:rsidRPr="00BC16BD">
              <w:rPr>
                <w:rFonts w:ascii="Arial" w:hAnsi="Arial" w:cs="Arial"/>
                <w:b/>
                <w:color w:val="000000"/>
                <w:sz w:val="22"/>
                <w:szCs w:val="22"/>
              </w:rPr>
              <w:t>Base case</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color w:val="000000"/>
              </w:rPr>
            </w:pPr>
            <w:r w:rsidRPr="00BC16BD">
              <w:rPr>
                <w:rFonts w:ascii="Arial" w:hAnsi="Arial" w:cs="Arial"/>
                <w:b/>
                <w:color w:val="000000"/>
                <w:sz w:val="22"/>
                <w:szCs w:val="22"/>
              </w:rPr>
              <w:t>399</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color w:val="000000"/>
              </w:rPr>
            </w:pPr>
            <w:r w:rsidRPr="00BC16BD">
              <w:rPr>
                <w:rFonts w:ascii="Arial" w:hAnsi="Arial" w:cs="Arial"/>
                <w:b/>
                <w:color w:val="000000"/>
                <w:sz w:val="22"/>
                <w:szCs w:val="22"/>
              </w:rPr>
              <w:t>683</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0.73</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0.60-0.88</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1.13</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0.93-1.36</w:t>
            </w:r>
          </w:p>
        </w:tc>
      </w:tr>
      <w:tr w:rsidR="0090321F" w:rsidRPr="00BC16BD" w:rsidTr="000B5236">
        <w:trPr>
          <w:trHeight w:val="300"/>
        </w:trPr>
        <w:tc>
          <w:tcPr>
            <w:tcW w:w="13088" w:type="dxa"/>
            <w:gridSpan w:val="7"/>
            <w:tcBorders>
              <w:top w:val="nil"/>
              <w:left w:val="nil"/>
              <w:bottom w:val="nil"/>
              <w:right w:val="nil"/>
            </w:tcBorders>
            <w:shd w:val="clear" w:color="auto" w:fill="auto"/>
            <w:noWrap/>
            <w:vAlign w:val="bottom"/>
            <w:hideMark/>
          </w:tcPr>
          <w:p w:rsidR="0090321F" w:rsidRPr="00BC16BD" w:rsidRDefault="0090321F" w:rsidP="000B5236">
            <w:pPr>
              <w:spacing w:line="360" w:lineRule="auto"/>
              <w:rPr>
                <w:rFonts w:ascii="Arial" w:hAnsi="Arial" w:cs="Arial"/>
                <w:b/>
                <w:bCs/>
                <w:color w:val="000000"/>
              </w:rPr>
            </w:pPr>
            <w:r w:rsidRPr="00BC16BD">
              <w:rPr>
                <w:rFonts w:ascii="Arial" w:hAnsi="Arial" w:cs="Arial"/>
                <w:color w:val="000000"/>
                <w:sz w:val="22"/>
                <w:szCs w:val="22"/>
              </w:rPr>
              <w:t>Sensitivity analyses: Methodological</w:t>
            </w: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Control for state fixed effects</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399</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683</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0.73</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0.59-0.90</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1.06</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0.87-1.30</w:t>
            </w: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 xml:space="preserve">Do not account for clinic-specific </w:t>
            </w:r>
            <w:r w:rsidRPr="00BC16BD">
              <w:rPr>
                <w:rFonts w:ascii="Arial" w:hAnsi="Arial" w:cs="Arial"/>
                <w:color w:val="000000"/>
                <w:sz w:val="22"/>
                <w:szCs w:val="22"/>
              </w:rPr>
              <w:tab/>
              <w:t xml:space="preserve">mechanisms </w:t>
            </w:r>
            <w:r w:rsidRPr="00BC16BD">
              <w:rPr>
                <w:rFonts w:ascii="Arial" w:hAnsi="Arial" w:cs="Arial"/>
                <w:color w:val="000000"/>
                <w:sz w:val="22"/>
                <w:szCs w:val="22"/>
              </w:rPr>
              <w:tab/>
              <w:t>in PS model</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399</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683</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0.79</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0.67-0.94</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1.07</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0.90-1.26</w:t>
            </w: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Use weighting instead of PS matching*</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8191</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683</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0.84</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0.69-1.03</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1.06</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0.87-1.29</w:t>
            </w: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Control for state insurance coverage</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279</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683</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0.77</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0.62-0.97</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0.90</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0.74-1.11</w:t>
            </w:r>
          </w:p>
        </w:tc>
      </w:tr>
      <w:tr w:rsidR="0090321F" w:rsidRPr="00BC16BD" w:rsidTr="000B5236">
        <w:trPr>
          <w:trHeight w:val="285"/>
        </w:trPr>
        <w:tc>
          <w:tcPr>
            <w:tcW w:w="13088" w:type="dxa"/>
            <w:gridSpan w:val="7"/>
            <w:tcBorders>
              <w:top w:val="nil"/>
              <w:left w:val="nil"/>
              <w:bottom w:val="nil"/>
              <w:right w:val="nil"/>
            </w:tcBorders>
            <w:shd w:val="clear" w:color="auto" w:fill="auto"/>
            <w:noWrap/>
            <w:vAlign w:val="bottom"/>
            <w:hideMark/>
          </w:tcPr>
          <w:p w:rsidR="0090321F" w:rsidRPr="00BC16BD" w:rsidRDefault="0090321F" w:rsidP="000B5236">
            <w:pPr>
              <w:spacing w:line="360" w:lineRule="auto"/>
              <w:rPr>
                <w:rFonts w:ascii="Arial" w:hAnsi="Arial" w:cs="Arial"/>
                <w:color w:val="000000"/>
              </w:rPr>
            </w:pPr>
            <w:r w:rsidRPr="00BC16BD">
              <w:rPr>
                <w:rFonts w:ascii="Arial" w:hAnsi="Arial" w:cs="Arial"/>
                <w:color w:val="000000"/>
                <w:sz w:val="22"/>
                <w:szCs w:val="22"/>
              </w:rPr>
              <w:t>Sensitivity analyses: Modify exposure definition</w:t>
            </w: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Based on 6-month lagged exposure</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343</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689</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0.91</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0.73-1.14</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1.41</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1.14-1.74</w:t>
            </w:r>
          </w:p>
        </w:tc>
      </w:tr>
      <w:tr w:rsidR="0090321F" w:rsidRPr="00BC16BD" w:rsidTr="000B5236">
        <w:trPr>
          <w:trHeight w:val="285"/>
        </w:trPr>
        <w:tc>
          <w:tcPr>
            <w:tcW w:w="6605" w:type="dxa"/>
            <w:gridSpan w:val="2"/>
            <w:tcBorders>
              <w:top w:val="nil"/>
              <w:left w:val="nil"/>
              <w:bottom w:val="nil"/>
              <w:right w:val="nil"/>
            </w:tcBorders>
            <w:shd w:val="clear" w:color="auto" w:fill="auto"/>
            <w:noWrap/>
            <w:vAlign w:val="bottom"/>
            <w:hideMark/>
          </w:tcPr>
          <w:p w:rsidR="0090321F" w:rsidRPr="00BC16BD" w:rsidRDefault="0090321F" w:rsidP="000B5236">
            <w:pPr>
              <w:spacing w:line="360" w:lineRule="auto"/>
              <w:rPr>
                <w:rFonts w:ascii="Arial" w:hAnsi="Arial" w:cs="Arial"/>
                <w:color w:val="000000"/>
              </w:rPr>
            </w:pPr>
            <w:r w:rsidRPr="00BC16BD">
              <w:rPr>
                <w:rFonts w:ascii="Arial" w:hAnsi="Arial" w:cs="Arial"/>
                <w:color w:val="000000"/>
                <w:sz w:val="22"/>
                <w:szCs w:val="22"/>
              </w:rPr>
              <w:t>Sensitivity analyses: Subgroups</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Confirmed newly treatment-eligible individuals</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200</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390</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0.88</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0.63-1.23</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1.16</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0.84-1.58</w:t>
            </w: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 xml:space="preserve">Confirmed </w:t>
            </w:r>
            <w:r w:rsidRPr="00BC16BD">
              <w:rPr>
                <w:rFonts w:ascii="Arial" w:hAnsi="Arial" w:cs="Arial"/>
                <w:color w:val="000000"/>
                <w:sz w:val="22"/>
                <w:szCs w:val="22"/>
              </w:rPr>
              <w:tab/>
              <w:t>state of residence (vs. presumed)</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244</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491</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0.93</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0.72-1.21</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1.18</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0.91-1.52</w:t>
            </w: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Confirmed IDU (vs. presumed)**</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1109</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224</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0.62</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0.41-0.94</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1.11</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0.75-1.64</w:t>
            </w:r>
          </w:p>
        </w:tc>
      </w:tr>
      <w:tr w:rsidR="0090321F" w:rsidRPr="00BC16BD" w:rsidTr="000B5236">
        <w:trPr>
          <w:trHeight w:val="300"/>
        </w:trPr>
        <w:tc>
          <w:tcPr>
            <w:tcW w:w="13088" w:type="dxa"/>
            <w:gridSpan w:val="7"/>
            <w:tcBorders>
              <w:top w:val="single" w:sz="4" w:space="0" w:color="auto"/>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b/>
                <w:bCs/>
                <w:color w:val="000000"/>
                <w:sz w:val="22"/>
                <w:szCs w:val="22"/>
                <w:u w:val="single"/>
              </w:rPr>
              <w:t>Living in a waiting list state (versus not living in a waiting list state)</w:t>
            </w:r>
            <w:r w:rsidRPr="00BC16BD">
              <w:rPr>
                <w:rFonts w:ascii="Arial" w:hAnsi="Arial" w:cs="Arial"/>
                <w:color w:val="000000"/>
                <w:sz w:val="22"/>
                <w:szCs w:val="22"/>
              </w:rPr>
              <w:t> </w:t>
            </w:r>
          </w:p>
        </w:tc>
      </w:tr>
      <w:tr w:rsidR="0090321F" w:rsidRPr="00BC16BD" w:rsidTr="000B5236">
        <w:trPr>
          <w:trHeight w:val="300"/>
        </w:trPr>
        <w:tc>
          <w:tcPr>
            <w:tcW w:w="5150" w:type="dxa"/>
            <w:tcBorders>
              <w:top w:val="nil"/>
              <w:left w:val="nil"/>
              <w:bottom w:val="nil"/>
              <w:right w:val="nil"/>
            </w:tcBorders>
            <w:shd w:val="clear" w:color="auto" w:fill="auto"/>
            <w:noWrap/>
            <w:vAlign w:val="bottom"/>
            <w:hideMark/>
          </w:tcPr>
          <w:p w:rsidR="0090321F" w:rsidRPr="00BC16BD" w:rsidRDefault="0090321F">
            <w:pPr>
              <w:tabs>
                <w:tab w:val="left" w:pos="332"/>
              </w:tabs>
              <w:spacing w:line="360" w:lineRule="auto"/>
              <w:rPr>
                <w:rFonts w:ascii="Arial" w:eastAsiaTheme="majorEastAsia" w:hAnsi="Arial" w:cs="Arial"/>
                <w:b/>
                <w:bCs/>
                <w:color w:val="000000"/>
              </w:rPr>
            </w:pPr>
            <w:r w:rsidRPr="00BC16BD">
              <w:rPr>
                <w:rFonts w:ascii="Arial" w:hAnsi="Arial" w:cs="Arial"/>
                <w:b/>
                <w:color w:val="000000"/>
                <w:sz w:val="22"/>
                <w:szCs w:val="22"/>
              </w:rPr>
              <w:t>Base case</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color w:val="000000"/>
              </w:rPr>
            </w:pPr>
            <w:r w:rsidRPr="00BC16BD">
              <w:rPr>
                <w:rFonts w:ascii="Arial" w:hAnsi="Arial" w:cs="Arial"/>
                <w:b/>
                <w:color w:val="000000"/>
                <w:sz w:val="22"/>
                <w:szCs w:val="22"/>
              </w:rPr>
              <w:t>222</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color w:val="000000"/>
              </w:rPr>
            </w:pPr>
            <w:r w:rsidRPr="00BC16BD">
              <w:rPr>
                <w:rFonts w:ascii="Arial" w:hAnsi="Arial" w:cs="Arial"/>
                <w:b/>
                <w:color w:val="000000"/>
                <w:sz w:val="22"/>
                <w:szCs w:val="22"/>
              </w:rPr>
              <w:t>398</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1.12</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0.87-1.45</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1.05</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b/>
                <w:bCs/>
                <w:color w:val="000000"/>
              </w:rPr>
            </w:pPr>
            <w:r w:rsidRPr="00BC16BD">
              <w:rPr>
                <w:rFonts w:ascii="Arial" w:hAnsi="Arial" w:cs="Arial"/>
                <w:b/>
                <w:bCs/>
                <w:color w:val="000000"/>
                <w:sz w:val="22"/>
                <w:szCs w:val="22"/>
              </w:rPr>
              <w:t>0.79-1.38</w:t>
            </w:r>
          </w:p>
        </w:tc>
      </w:tr>
      <w:tr w:rsidR="0090321F" w:rsidRPr="00BC16BD" w:rsidTr="000B5236">
        <w:trPr>
          <w:trHeight w:val="300"/>
        </w:trPr>
        <w:tc>
          <w:tcPr>
            <w:tcW w:w="13088" w:type="dxa"/>
            <w:gridSpan w:val="7"/>
            <w:tcBorders>
              <w:top w:val="nil"/>
              <w:left w:val="nil"/>
              <w:bottom w:val="nil"/>
              <w:right w:val="nil"/>
            </w:tcBorders>
            <w:shd w:val="clear" w:color="auto" w:fill="auto"/>
            <w:noWrap/>
            <w:vAlign w:val="bottom"/>
            <w:hideMark/>
          </w:tcPr>
          <w:p w:rsidR="0090321F" w:rsidRPr="00BC16BD" w:rsidRDefault="0090321F" w:rsidP="000B5236">
            <w:pPr>
              <w:spacing w:line="360" w:lineRule="auto"/>
              <w:rPr>
                <w:rFonts w:ascii="Arial" w:hAnsi="Arial" w:cs="Arial"/>
                <w:b/>
                <w:bCs/>
                <w:color w:val="000000"/>
              </w:rPr>
            </w:pPr>
            <w:r w:rsidRPr="00BC16BD">
              <w:rPr>
                <w:rFonts w:ascii="Arial" w:hAnsi="Arial" w:cs="Arial"/>
                <w:color w:val="000000"/>
                <w:sz w:val="22"/>
                <w:szCs w:val="22"/>
              </w:rPr>
              <w:t>Sensitivity analyses: Methodological</w:t>
            </w: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Control for state fixed effects</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222</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398</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1.13</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0.89-1.44</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1.04</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0.81-1.34</w:t>
            </w: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 xml:space="preserve">Do not account for clinic-specific </w:t>
            </w:r>
            <w:r w:rsidRPr="00BC16BD">
              <w:rPr>
                <w:rFonts w:ascii="Arial" w:hAnsi="Arial" w:cs="Arial"/>
                <w:color w:val="000000"/>
                <w:sz w:val="22"/>
                <w:szCs w:val="22"/>
              </w:rPr>
              <w:tab/>
              <w:t xml:space="preserve">mechanisms </w:t>
            </w:r>
            <w:r w:rsidRPr="00BC16BD">
              <w:rPr>
                <w:rFonts w:ascii="Arial" w:hAnsi="Arial" w:cs="Arial"/>
                <w:color w:val="000000"/>
                <w:sz w:val="22"/>
                <w:szCs w:val="22"/>
              </w:rPr>
              <w:tab/>
              <w:t>in PS model</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222</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398</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1.93</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1.49-2.51</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1.29</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1.02-1.63</w:t>
            </w: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lastRenderedPageBreak/>
              <w:tab/>
              <w:t>Use weighting instead of PS matching*</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8433</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441</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1.41</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1.09-1.81</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1.05</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0.83-1.34</w:t>
            </w: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Control for state insurance coverage</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199</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414</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1.18</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0.91-1.52</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0.91</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0.70-1.18</w:t>
            </w:r>
          </w:p>
        </w:tc>
      </w:tr>
      <w:tr w:rsidR="0090321F" w:rsidRPr="00BC16BD" w:rsidTr="000B5236">
        <w:trPr>
          <w:trHeight w:val="285"/>
        </w:trPr>
        <w:tc>
          <w:tcPr>
            <w:tcW w:w="13088" w:type="dxa"/>
            <w:gridSpan w:val="7"/>
            <w:tcBorders>
              <w:top w:val="nil"/>
              <w:left w:val="nil"/>
              <w:bottom w:val="nil"/>
              <w:right w:val="nil"/>
            </w:tcBorders>
            <w:shd w:val="clear" w:color="auto" w:fill="auto"/>
            <w:noWrap/>
            <w:vAlign w:val="bottom"/>
            <w:hideMark/>
          </w:tcPr>
          <w:p w:rsidR="0090321F" w:rsidRPr="00BC16BD" w:rsidRDefault="0090321F" w:rsidP="000B5236">
            <w:pPr>
              <w:spacing w:line="360" w:lineRule="auto"/>
              <w:rPr>
                <w:rFonts w:ascii="Arial" w:hAnsi="Arial" w:cs="Arial"/>
                <w:color w:val="000000"/>
              </w:rPr>
            </w:pPr>
            <w:r w:rsidRPr="00BC16BD">
              <w:rPr>
                <w:rFonts w:ascii="Arial" w:hAnsi="Arial" w:cs="Arial"/>
                <w:color w:val="000000"/>
                <w:sz w:val="22"/>
                <w:szCs w:val="22"/>
              </w:rPr>
              <w:t>Sensitivity analyses: Modify exposure or outcome definition</w:t>
            </w: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Based on 6-month lagged exposure</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243</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204</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0.94</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0.75-1.17</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1.06</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0.85-1.34</w:t>
            </w: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Based on 3-month ART initiation outcome</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222</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398</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1.44</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1.06-1.97</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w:t>
            </w:r>
          </w:p>
        </w:tc>
      </w:tr>
      <w:tr w:rsidR="0090321F" w:rsidRPr="00BC16BD" w:rsidTr="000B5236">
        <w:trPr>
          <w:trHeight w:val="285"/>
        </w:trPr>
        <w:tc>
          <w:tcPr>
            <w:tcW w:w="13088" w:type="dxa"/>
            <w:gridSpan w:val="7"/>
            <w:tcBorders>
              <w:top w:val="nil"/>
              <w:left w:val="nil"/>
              <w:bottom w:val="nil"/>
              <w:right w:val="nil"/>
            </w:tcBorders>
            <w:shd w:val="clear" w:color="auto" w:fill="auto"/>
            <w:noWrap/>
            <w:vAlign w:val="bottom"/>
            <w:hideMark/>
          </w:tcPr>
          <w:p w:rsidR="0090321F" w:rsidRPr="00BC16BD" w:rsidRDefault="0090321F" w:rsidP="000B5236">
            <w:pPr>
              <w:spacing w:line="360" w:lineRule="auto"/>
              <w:rPr>
                <w:rFonts w:ascii="Arial" w:hAnsi="Arial" w:cs="Arial"/>
                <w:color w:val="000000"/>
              </w:rPr>
            </w:pPr>
            <w:r w:rsidRPr="00BC16BD">
              <w:rPr>
                <w:rFonts w:ascii="Arial" w:hAnsi="Arial" w:cs="Arial"/>
                <w:color w:val="000000"/>
                <w:sz w:val="22"/>
                <w:szCs w:val="22"/>
              </w:rPr>
              <w:t>Sensitivity analyses: Subgroups</w:t>
            </w: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Confirmed newly treatment-eligible individuals</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89</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92</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1.73</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1.11-2.72</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1.10</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0.71-1.68</w:t>
            </w:r>
          </w:p>
        </w:tc>
      </w:tr>
      <w:tr w:rsidR="0090321F" w:rsidRPr="00BC16BD" w:rsidTr="000B5236">
        <w:trPr>
          <w:trHeight w:val="285"/>
        </w:trPr>
        <w:tc>
          <w:tcPr>
            <w:tcW w:w="5150" w:type="dxa"/>
            <w:tcBorders>
              <w:top w:val="nil"/>
              <w:left w:val="nil"/>
              <w:bottom w:val="nil"/>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Confirmed</w:t>
            </w:r>
            <w:r w:rsidRPr="00BC16BD">
              <w:rPr>
                <w:rFonts w:ascii="Arial" w:hAnsi="Arial" w:cs="Arial"/>
                <w:color w:val="000000"/>
                <w:sz w:val="22"/>
                <w:szCs w:val="22"/>
              </w:rPr>
              <w:tab/>
              <w:t>state of residence (vs. presumed)</w:t>
            </w:r>
          </w:p>
        </w:tc>
        <w:tc>
          <w:tcPr>
            <w:tcW w:w="145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147</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232</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1.24</w:t>
            </w:r>
          </w:p>
        </w:tc>
        <w:tc>
          <w:tcPr>
            <w:tcW w:w="134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0.91-1.67</w:t>
            </w:r>
          </w:p>
        </w:tc>
        <w:tc>
          <w:tcPr>
            <w:tcW w:w="1257"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0.96</w:t>
            </w:r>
          </w:p>
        </w:tc>
        <w:tc>
          <w:tcPr>
            <w:tcW w:w="1275" w:type="dxa"/>
            <w:tcBorders>
              <w:top w:val="nil"/>
              <w:left w:val="nil"/>
              <w:bottom w:val="nil"/>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0.71-1.30</w:t>
            </w:r>
          </w:p>
        </w:tc>
      </w:tr>
      <w:tr w:rsidR="0090321F" w:rsidRPr="00BC16BD" w:rsidTr="000B5236">
        <w:trPr>
          <w:trHeight w:val="285"/>
        </w:trPr>
        <w:tc>
          <w:tcPr>
            <w:tcW w:w="5150" w:type="dxa"/>
            <w:tcBorders>
              <w:top w:val="nil"/>
              <w:left w:val="nil"/>
              <w:bottom w:val="single" w:sz="4" w:space="0" w:color="auto"/>
              <w:right w:val="nil"/>
            </w:tcBorders>
            <w:shd w:val="clear" w:color="auto" w:fill="auto"/>
            <w:noWrap/>
            <w:vAlign w:val="bottom"/>
            <w:hideMark/>
          </w:tcPr>
          <w:p w:rsidR="0090321F" w:rsidRPr="00BC16BD" w:rsidRDefault="0090321F" w:rsidP="000B5236">
            <w:pPr>
              <w:tabs>
                <w:tab w:val="left" w:pos="332"/>
              </w:tabs>
              <w:spacing w:line="360" w:lineRule="auto"/>
              <w:rPr>
                <w:rFonts w:ascii="Arial" w:hAnsi="Arial" w:cs="Arial"/>
                <w:color w:val="000000"/>
              </w:rPr>
            </w:pPr>
            <w:r w:rsidRPr="00BC16BD">
              <w:rPr>
                <w:rFonts w:ascii="Arial" w:hAnsi="Arial" w:cs="Arial"/>
                <w:color w:val="000000"/>
                <w:sz w:val="22"/>
                <w:szCs w:val="22"/>
              </w:rPr>
              <w:tab/>
              <w:t>Confirmed IDU (vs. presumed)**</w:t>
            </w:r>
          </w:p>
        </w:tc>
        <w:tc>
          <w:tcPr>
            <w:tcW w:w="1455" w:type="dxa"/>
            <w:tcBorders>
              <w:top w:val="nil"/>
              <w:left w:val="nil"/>
              <w:bottom w:val="single" w:sz="4" w:space="0" w:color="auto"/>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1290</w:t>
            </w:r>
          </w:p>
        </w:tc>
        <w:tc>
          <w:tcPr>
            <w:tcW w:w="1257" w:type="dxa"/>
            <w:tcBorders>
              <w:top w:val="nil"/>
              <w:left w:val="nil"/>
              <w:bottom w:val="single" w:sz="4" w:space="0" w:color="auto"/>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43</w:t>
            </w:r>
          </w:p>
        </w:tc>
        <w:tc>
          <w:tcPr>
            <w:tcW w:w="1347" w:type="dxa"/>
            <w:tcBorders>
              <w:top w:val="nil"/>
              <w:left w:val="nil"/>
              <w:bottom w:val="single" w:sz="4" w:space="0" w:color="auto"/>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2.85</w:t>
            </w:r>
          </w:p>
        </w:tc>
        <w:tc>
          <w:tcPr>
            <w:tcW w:w="1347" w:type="dxa"/>
            <w:tcBorders>
              <w:top w:val="nil"/>
              <w:left w:val="nil"/>
              <w:bottom w:val="single" w:sz="4" w:space="0" w:color="auto"/>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1.44-5.65</w:t>
            </w:r>
          </w:p>
        </w:tc>
        <w:tc>
          <w:tcPr>
            <w:tcW w:w="1257" w:type="dxa"/>
            <w:tcBorders>
              <w:top w:val="nil"/>
              <w:left w:val="nil"/>
              <w:bottom w:val="single" w:sz="4" w:space="0" w:color="auto"/>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1.92</w:t>
            </w:r>
          </w:p>
        </w:tc>
        <w:tc>
          <w:tcPr>
            <w:tcW w:w="1275" w:type="dxa"/>
            <w:tcBorders>
              <w:top w:val="nil"/>
              <w:left w:val="nil"/>
              <w:bottom w:val="single" w:sz="4" w:space="0" w:color="auto"/>
              <w:right w:val="nil"/>
            </w:tcBorders>
            <w:shd w:val="clear" w:color="auto" w:fill="auto"/>
            <w:noWrap/>
            <w:vAlign w:val="bottom"/>
            <w:hideMark/>
          </w:tcPr>
          <w:p w:rsidR="0090321F" w:rsidRPr="00BC16BD" w:rsidRDefault="0090321F" w:rsidP="000B5236">
            <w:pPr>
              <w:spacing w:line="360" w:lineRule="auto"/>
              <w:jc w:val="center"/>
              <w:rPr>
                <w:rFonts w:ascii="Arial" w:hAnsi="Arial" w:cs="Arial"/>
                <w:color w:val="000000"/>
              </w:rPr>
            </w:pPr>
            <w:r w:rsidRPr="00BC16BD">
              <w:rPr>
                <w:rFonts w:ascii="Arial" w:hAnsi="Arial" w:cs="Arial"/>
                <w:color w:val="000000"/>
                <w:sz w:val="22"/>
                <w:szCs w:val="22"/>
              </w:rPr>
              <w:t>1.01-3.65</w:t>
            </w:r>
          </w:p>
        </w:tc>
      </w:tr>
    </w:tbl>
    <w:p w:rsidR="0090321F" w:rsidRPr="00BC16BD" w:rsidRDefault="0090321F" w:rsidP="000B5236">
      <w:pPr>
        <w:spacing w:line="480" w:lineRule="auto"/>
        <w:rPr>
          <w:rFonts w:ascii="Arial" w:hAnsi="Arial" w:cs="Arial"/>
          <w:sz w:val="22"/>
          <w:szCs w:val="22"/>
        </w:rPr>
      </w:pPr>
      <w:r w:rsidRPr="00BC16BD">
        <w:rPr>
          <w:rFonts w:ascii="Arial" w:hAnsi="Arial" w:cs="Arial"/>
          <w:sz w:val="22"/>
          <w:szCs w:val="22"/>
        </w:rPr>
        <w:t>ADAP = AIDS Drug Assistance Program, ART = antiretroviral therapy, CI = confidence interval, HR = hazard ratio, IDU = injection drug user, PS = propensity score.</w:t>
      </w:r>
    </w:p>
    <w:p w:rsidR="0090321F" w:rsidRDefault="0090321F">
      <w:pPr>
        <w:spacing w:line="480" w:lineRule="auto"/>
        <w:rPr>
          <w:rFonts w:ascii="Arial" w:hAnsi="Arial" w:cs="Arial"/>
          <w:bCs/>
          <w:sz w:val="22"/>
          <w:szCs w:val="22"/>
        </w:rPr>
      </w:pPr>
      <w:r w:rsidRPr="00BC16BD">
        <w:rPr>
          <w:rFonts w:ascii="Arial" w:hAnsi="Arial" w:cs="Arial"/>
          <w:sz w:val="22"/>
          <w:szCs w:val="22"/>
        </w:rPr>
        <w:t>Hazard ratios obtained after 1:3 matching “exposed” individuals to “unexposed” individuals based on propensity of exposure to each feature, with replacement, except as noted: *inverse probability weighting and **conventional regression analysis.  All analyses account for the following variables: age; sex; race/ethnicity; transmission risk; CD4+ count and viral load at eligibility; history of alcohol abuse, substance abuse, and mental disorders; year of eligibility; type of cohort; clinic-specific mechanisms to help obtain ART; state-level population density, % population of black race, % population below poverty line, median household income, and per capita HIV Medicaid spending.</w:t>
      </w:r>
      <w:r w:rsidRPr="004457FB">
        <w:rPr>
          <w:rFonts w:ascii="Arial" w:hAnsi="Arial" w:cs="Arial"/>
          <w:sz w:val="22"/>
          <w:szCs w:val="22"/>
        </w:rPr>
        <w:tab/>
      </w:r>
    </w:p>
    <w:p w:rsidR="000D71EC" w:rsidRDefault="000D71EC"/>
    <w:sectPr w:rsidR="000D71EC" w:rsidSect="000B5236">
      <w:headerReference w:type="default" r:id="rId9"/>
      <w:footerReference w:type="default" r:id="rId10"/>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366" w:rsidRDefault="000F2366">
      <w:r>
        <w:separator/>
      </w:r>
    </w:p>
  </w:endnote>
  <w:endnote w:type="continuationSeparator" w:id="0">
    <w:p w:rsidR="000F2366" w:rsidRDefault="000F2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66" w:rsidRPr="00FE0AF1" w:rsidRDefault="000F2366" w:rsidP="000B5236">
    <w:pPr>
      <w:pStyle w:val="Footer"/>
      <w:jc w:val="center"/>
      <w:rPr>
        <w:rFonts w:asciiTheme="majorHAnsi" w:hAnsiTheme="majorHAnsi"/>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66" w:rsidRDefault="000F2366" w:rsidP="000B523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366" w:rsidRDefault="000F2366">
      <w:r>
        <w:separator/>
      </w:r>
    </w:p>
  </w:footnote>
  <w:footnote w:type="continuationSeparator" w:id="0">
    <w:p w:rsidR="000F2366" w:rsidRDefault="000F2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66" w:rsidRPr="0098007F" w:rsidRDefault="000F2366" w:rsidP="000B5236">
    <w:pPr>
      <w:pStyle w:val="Header"/>
      <w:jc w:val="right"/>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66" w:rsidRPr="00B52B43" w:rsidRDefault="000F2366" w:rsidP="000B5236">
    <w:pPr>
      <w:pStyle w:val="Header"/>
      <w:jc w:val="right"/>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D09"/>
    <w:multiLevelType w:val="hybridMultilevel"/>
    <w:tmpl w:val="ADC01546"/>
    <w:lvl w:ilvl="0" w:tplc="0518D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60E1B"/>
    <w:multiLevelType w:val="hybridMultilevel"/>
    <w:tmpl w:val="CDA8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9446B"/>
    <w:multiLevelType w:val="hybridMultilevel"/>
    <w:tmpl w:val="970C3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12252"/>
    <w:multiLevelType w:val="hybridMultilevel"/>
    <w:tmpl w:val="94A2AE1A"/>
    <w:lvl w:ilvl="0" w:tplc="BF7ED1DC">
      <w:start w:val="1"/>
      <w:numFmt w:val="bullet"/>
      <w:lvlText w:val="•"/>
      <w:lvlJc w:val="left"/>
      <w:pPr>
        <w:tabs>
          <w:tab w:val="num" w:pos="720"/>
        </w:tabs>
        <w:ind w:left="720" w:hanging="360"/>
      </w:pPr>
      <w:rPr>
        <w:rFonts w:ascii="Arial" w:hAnsi="Arial" w:hint="default"/>
      </w:rPr>
    </w:lvl>
    <w:lvl w:ilvl="1" w:tplc="9F46C59E" w:tentative="1">
      <w:start w:val="1"/>
      <w:numFmt w:val="bullet"/>
      <w:lvlText w:val="•"/>
      <w:lvlJc w:val="left"/>
      <w:pPr>
        <w:tabs>
          <w:tab w:val="num" w:pos="1440"/>
        </w:tabs>
        <w:ind w:left="1440" w:hanging="360"/>
      </w:pPr>
      <w:rPr>
        <w:rFonts w:ascii="Arial" w:hAnsi="Arial" w:hint="default"/>
      </w:rPr>
    </w:lvl>
    <w:lvl w:ilvl="2" w:tplc="BC3A8960" w:tentative="1">
      <w:start w:val="1"/>
      <w:numFmt w:val="bullet"/>
      <w:lvlText w:val="•"/>
      <w:lvlJc w:val="left"/>
      <w:pPr>
        <w:tabs>
          <w:tab w:val="num" w:pos="2160"/>
        </w:tabs>
        <w:ind w:left="2160" w:hanging="360"/>
      </w:pPr>
      <w:rPr>
        <w:rFonts w:ascii="Arial" w:hAnsi="Arial" w:hint="default"/>
      </w:rPr>
    </w:lvl>
    <w:lvl w:ilvl="3" w:tplc="9C2A6390" w:tentative="1">
      <w:start w:val="1"/>
      <w:numFmt w:val="bullet"/>
      <w:lvlText w:val="•"/>
      <w:lvlJc w:val="left"/>
      <w:pPr>
        <w:tabs>
          <w:tab w:val="num" w:pos="2880"/>
        </w:tabs>
        <w:ind w:left="2880" w:hanging="360"/>
      </w:pPr>
      <w:rPr>
        <w:rFonts w:ascii="Arial" w:hAnsi="Arial" w:hint="default"/>
      </w:rPr>
    </w:lvl>
    <w:lvl w:ilvl="4" w:tplc="F8B4AA56" w:tentative="1">
      <w:start w:val="1"/>
      <w:numFmt w:val="bullet"/>
      <w:lvlText w:val="•"/>
      <w:lvlJc w:val="left"/>
      <w:pPr>
        <w:tabs>
          <w:tab w:val="num" w:pos="3600"/>
        </w:tabs>
        <w:ind w:left="3600" w:hanging="360"/>
      </w:pPr>
      <w:rPr>
        <w:rFonts w:ascii="Arial" w:hAnsi="Arial" w:hint="default"/>
      </w:rPr>
    </w:lvl>
    <w:lvl w:ilvl="5" w:tplc="4FFCC554" w:tentative="1">
      <w:start w:val="1"/>
      <w:numFmt w:val="bullet"/>
      <w:lvlText w:val="•"/>
      <w:lvlJc w:val="left"/>
      <w:pPr>
        <w:tabs>
          <w:tab w:val="num" w:pos="4320"/>
        </w:tabs>
        <w:ind w:left="4320" w:hanging="360"/>
      </w:pPr>
      <w:rPr>
        <w:rFonts w:ascii="Arial" w:hAnsi="Arial" w:hint="default"/>
      </w:rPr>
    </w:lvl>
    <w:lvl w:ilvl="6" w:tplc="CCAA0AD0" w:tentative="1">
      <w:start w:val="1"/>
      <w:numFmt w:val="bullet"/>
      <w:lvlText w:val="•"/>
      <w:lvlJc w:val="left"/>
      <w:pPr>
        <w:tabs>
          <w:tab w:val="num" w:pos="5040"/>
        </w:tabs>
        <w:ind w:left="5040" w:hanging="360"/>
      </w:pPr>
      <w:rPr>
        <w:rFonts w:ascii="Arial" w:hAnsi="Arial" w:hint="default"/>
      </w:rPr>
    </w:lvl>
    <w:lvl w:ilvl="7" w:tplc="0F1E3444" w:tentative="1">
      <w:start w:val="1"/>
      <w:numFmt w:val="bullet"/>
      <w:lvlText w:val="•"/>
      <w:lvlJc w:val="left"/>
      <w:pPr>
        <w:tabs>
          <w:tab w:val="num" w:pos="5760"/>
        </w:tabs>
        <w:ind w:left="5760" w:hanging="360"/>
      </w:pPr>
      <w:rPr>
        <w:rFonts w:ascii="Arial" w:hAnsi="Arial" w:hint="default"/>
      </w:rPr>
    </w:lvl>
    <w:lvl w:ilvl="8" w:tplc="99A6DD62" w:tentative="1">
      <w:start w:val="1"/>
      <w:numFmt w:val="bullet"/>
      <w:lvlText w:val="•"/>
      <w:lvlJc w:val="left"/>
      <w:pPr>
        <w:tabs>
          <w:tab w:val="num" w:pos="6480"/>
        </w:tabs>
        <w:ind w:left="6480" w:hanging="360"/>
      </w:pPr>
      <w:rPr>
        <w:rFonts w:ascii="Arial" w:hAnsi="Arial" w:hint="default"/>
      </w:rPr>
    </w:lvl>
  </w:abstractNum>
  <w:abstractNum w:abstractNumId="4">
    <w:nsid w:val="17DC7DDF"/>
    <w:multiLevelType w:val="hybridMultilevel"/>
    <w:tmpl w:val="2834C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71B95"/>
    <w:multiLevelType w:val="hybridMultilevel"/>
    <w:tmpl w:val="D20A82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02307"/>
    <w:multiLevelType w:val="hybridMultilevel"/>
    <w:tmpl w:val="DE669CEC"/>
    <w:lvl w:ilvl="0" w:tplc="A670C372">
      <w:start w:val="1"/>
      <w:numFmt w:val="bullet"/>
      <w:lvlText w:val="•"/>
      <w:lvlJc w:val="left"/>
      <w:pPr>
        <w:tabs>
          <w:tab w:val="num" w:pos="720"/>
        </w:tabs>
        <w:ind w:left="720" w:hanging="360"/>
      </w:pPr>
      <w:rPr>
        <w:rFonts w:ascii="Times New Roman" w:hAnsi="Times New Roman" w:hint="default"/>
      </w:rPr>
    </w:lvl>
    <w:lvl w:ilvl="1" w:tplc="A4B41B20" w:tentative="1">
      <w:start w:val="1"/>
      <w:numFmt w:val="bullet"/>
      <w:lvlText w:val="•"/>
      <w:lvlJc w:val="left"/>
      <w:pPr>
        <w:tabs>
          <w:tab w:val="num" w:pos="1440"/>
        </w:tabs>
        <w:ind w:left="1440" w:hanging="360"/>
      </w:pPr>
      <w:rPr>
        <w:rFonts w:ascii="Times New Roman" w:hAnsi="Times New Roman" w:hint="default"/>
      </w:rPr>
    </w:lvl>
    <w:lvl w:ilvl="2" w:tplc="030415E4" w:tentative="1">
      <w:start w:val="1"/>
      <w:numFmt w:val="bullet"/>
      <w:lvlText w:val="•"/>
      <w:lvlJc w:val="left"/>
      <w:pPr>
        <w:tabs>
          <w:tab w:val="num" w:pos="2160"/>
        </w:tabs>
        <w:ind w:left="2160" w:hanging="360"/>
      </w:pPr>
      <w:rPr>
        <w:rFonts w:ascii="Times New Roman" w:hAnsi="Times New Roman" w:hint="default"/>
      </w:rPr>
    </w:lvl>
    <w:lvl w:ilvl="3" w:tplc="53B80A36" w:tentative="1">
      <w:start w:val="1"/>
      <w:numFmt w:val="bullet"/>
      <w:lvlText w:val="•"/>
      <w:lvlJc w:val="left"/>
      <w:pPr>
        <w:tabs>
          <w:tab w:val="num" w:pos="2880"/>
        </w:tabs>
        <w:ind w:left="2880" w:hanging="360"/>
      </w:pPr>
      <w:rPr>
        <w:rFonts w:ascii="Times New Roman" w:hAnsi="Times New Roman" w:hint="default"/>
      </w:rPr>
    </w:lvl>
    <w:lvl w:ilvl="4" w:tplc="F912ADB4" w:tentative="1">
      <w:start w:val="1"/>
      <w:numFmt w:val="bullet"/>
      <w:lvlText w:val="•"/>
      <w:lvlJc w:val="left"/>
      <w:pPr>
        <w:tabs>
          <w:tab w:val="num" w:pos="3600"/>
        </w:tabs>
        <w:ind w:left="3600" w:hanging="360"/>
      </w:pPr>
      <w:rPr>
        <w:rFonts w:ascii="Times New Roman" w:hAnsi="Times New Roman" w:hint="default"/>
      </w:rPr>
    </w:lvl>
    <w:lvl w:ilvl="5" w:tplc="5D7CB1F4" w:tentative="1">
      <w:start w:val="1"/>
      <w:numFmt w:val="bullet"/>
      <w:lvlText w:val="•"/>
      <w:lvlJc w:val="left"/>
      <w:pPr>
        <w:tabs>
          <w:tab w:val="num" w:pos="4320"/>
        </w:tabs>
        <w:ind w:left="4320" w:hanging="360"/>
      </w:pPr>
      <w:rPr>
        <w:rFonts w:ascii="Times New Roman" w:hAnsi="Times New Roman" w:hint="default"/>
      </w:rPr>
    </w:lvl>
    <w:lvl w:ilvl="6" w:tplc="5420DB70" w:tentative="1">
      <w:start w:val="1"/>
      <w:numFmt w:val="bullet"/>
      <w:lvlText w:val="•"/>
      <w:lvlJc w:val="left"/>
      <w:pPr>
        <w:tabs>
          <w:tab w:val="num" w:pos="5040"/>
        </w:tabs>
        <w:ind w:left="5040" w:hanging="360"/>
      </w:pPr>
      <w:rPr>
        <w:rFonts w:ascii="Times New Roman" w:hAnsi="Times New Roman" w:hint="default"/>
      </w:rPr>
    </w:lvl>
    <w:lvl w:ilvl="7" w:tplc="016CE812" w:tentative="1">
      <w:start w:val="1"/>
      <w:numFmt w:val="bullet"/>
      <w:lvlText w:val="•"/>
      <w:lvlJc w:val="left"/>
      <w:pPr>
        <w:tabs>
          <w:tab w:val="num" w:pos="5760"/>
        </w:tabs>
        <w:ind w:left="5760" w:hanging="360"/>
      </w:pPr>
      <w:rPr>
        <w:rFonts w:ascii="Times New Roman" w:hAnsi="Times New Roman" w:hint="default"/>
      </w:rPr>
    </w:lvl>
    <w:lvl w:ilvl="8" w:tplc="BB4E1D4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142A42"/>
    <w:multiLevelType w:val="hybridMultilevel"/>
    <w:tmpl w:val="DF32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623A9"/>
    <w:multiLevelType w:val="hybridMultilevel"/>
    <w:tmpl w:val="A7ECA3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AD1EC0"/>
    <w:multiLevelType w:val="hybridMultilevel"/>
    <w:tmpl w:val="CF9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71498"/>
    <w:multiLevelType w:val="hybridMultilevel"/>
    <w:tmpl w:val="5F44124E"/>
    <w:lvl w:ilvl="0" w:tplc="961AD948">
      <w:start w:val="1"/>
      <w:numFmt w:val="bullet"/>
      <w:lvlText w:val="•"/>
      <w:lvlJc w:val="left"/>
      <w:pPr>
        <w:tabs>
          <w:tab w:val="num" w:pos="720"/>
        </w:tabs>
        <w:ind w:left="720" w:hanging="360"/>
      </w:pPr>
      <w:rPr>
        <w:rFonts w:ascii="Arial" w:hAnsi="Arial" w:hint="default"/>
      </w:rPr>
    </w:lvl>
    <w:lvl w:ilvl="1" w:tplc="1ABC0E54" w:tentative="1">
      <w:start w:val="1"/>
      <w:numFmt w:val="bullet"/>
      <w:lvlText w:val="•"/>
      <w:lvlJc w:val="left"/>
      <w:pPr>
        <w:tabs>
          <w:tab w:val="num" w:pos="1440"/>
        </w:tabs>
        <w:ind w:left="1440" w:hanging="360"/>
      </w:pPr>
      <w:rPr>
        <w:rFonts w:ascii="Arial" w:hAnsi="Arial" w:hint="default"/>
      </w:rPr>
    </w:lvl>
    <w:lvl w:ilvl="2" w:tplc="0B8E9E2E" w:tentative="1">
      <w:start w:val="1"/>
      <w:numFmt w:val="bullet"/>
      <w:lvlText w:val="•"/>
      <w:lvlJc w:val="left"/>
      <w:pPr>
        <w:tabs>
          <w:tab w:val="num" w:pos="2160"/>
        </w:tabs>
        <w:ind w:left="2160" w:hanging="360"/>
      </w:pPr>
      <w:rPr>
        <w:rFonts w:ascii="Arial" w:hAnsi="Arial" w:hint="default"/>
      </w:rPr>
    </w:lvl>
    <w:lvl w:ilvl="3" w:tplc="E2268E64" w:tentative="1">
      <w:start w:val="1"/>
      <w:numFmt w:val="bullet"/>
      <w:lvlText w:val="•"/>
      <w:lvlJc w:val="left"/>
      <w:pPr>
        <w:tabs>
          <w:tab w:val="num" w:pos="2880"/>
        </w:tabs>
        <w:ind w:left="2880" w:hanging="360"/>
      </w:pPr>
      <w:rPr>
        <w:rFonts w:ascii="Arial" w:hAnsi="Arial" w:hint="default"/>
      </w:rPr>
    </w:lvl>
    <w:lvl w:ilvl="4" w:tplc="FA702846" w:tentative="1">
      <w:start w:val="1"/>
      <w:numFmt w:val="bullet"/>
      <w:lvlText w:val="•"/>
      <w:lvlJc w:val="left"/>
      <w:pPr>
        <w:tabs>
          <w:tab w:val="num" w:pos="3600"/>
        </w:tabs>
        <w:ind w:left="3600" w:hanging="360"/>
      </w:pPr>
      <w:rPr>
        <w:rFonts w:ascii="Arial" w:hAnsi="Arial" w:hint="default"/>
      </w:rPr>
    </w:lvl>
    <w:lvl w:ilvl="5" w:tplc="65A25BA8" w:tentative="1">
      <w:start w:val="1"/>
      <w:numFmt w:val="bullet"/>
      <w:lvlText w:val="•"/>
      <w:lvlJc w:val="left"/>
      <w:pPr>
        <w:tabs>
          <w:tab w:val="num" w:pos="4320"/>
        </w:tabs>
        <w:ind w:left="4320" w:hanging="360"/>
      </w:pPr>
      <w:rPr>
        <w:rFonts w:ascii="Arial" w:hAnsi="Arial" w:hint="default"/>
      </w:rPr>
    </w:lvl>
    <w:lvl w:ilvl="6" w:tplc="A7841964" w:tentative="1">
      <w:start w:val="1"/>
      <w:numFmt w:val="bullet"/>
      <w:lvlText w:val="•"/>
      <w:lvlJc w:val="left"/>
      <w:pPr>
        <w:tabs>
          <w:tab w:val="num" w:pos="5040"/>
        </w:tabs>
        <w:ind w:left="5040" w:hanging="360"/>
      </w:pPr>
      <w:rPr>
        <w:rFonts w:ascii="Arial" w:hAnsi="Arial" w:hint="default"/>
      </w:rPr>
    </w:lvl>
    <w:lvl w:ilvl="7" w:tplc="7634467A" w:tentative="1">
      <w:start w:val="1"/>
      <w:numFmt w:val="bullet"/>
      <w:lvlText w:val="•"/>
      <w:lvlJc w:val="left"/>
      <w:pPr>
        <w:tabs>
          <w:tab w:val="num" w:pos="5760"/>
        </w:tabs>
        <w:ind w:left="5760" w:hanging="360"/>
      </w:pPr>
      <w:rPr>
        <w:rFonts w:ascii="Arial" w:hAnsi="Arial" w:hint="default"/>
      </w:rPr>
    </w:lvl>
    <w:lvl w:ilvl="8" w:tplc="2608564C" w:tentative="1">
      <w:start w:val="1"/>
      <w:numFmt w:val="bullet"/>
      <w:lvlText w:val="•"/>
      <w:lvlJc w:val="left"/>
      <w:pPr>
        <w:tabs>
          <w:tab w:val="num" w:pos="6480"/>
        </w:tabs>
        <w:ind w:left="6480" w:hanging="360"/>
      </w:pPr>
      <w:rPr>
        <w:rFonts w:ascii="Arial" w:hAnsi="Arial" w:hint="default"/>
      </w:rPr>
    </w:lvl>
  </w:abstractNum>
  <w:abstractNum w:abstractNumId="11">
    <w:nsid w:val="37644012"/>
    <w:multiLevelType w:val="hybridMultilevel"/>
    <w:tmpl w:val="0A1C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76808"/>
    <w:multiLevelType w:val="hybridMultilevel"/>
    <w:tmpl w:val="792E5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C1B90"/>
    <w:multiLevelType w:val="hybridMultilevel"/>
    <w:tmpl w:val="50B22D7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27DC4"/>
    <w:multiLevelType w:val="hybridMultilevel"/>
    <w:tmpl w:val="5BB479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112006"/>
    <w:multiLevelType w:val="hybridMultilevel"/>
    <w:tmpl w:val="7E8A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51FEB"/>
    <w:multiLevelType w:val="hybridMultilevel"/>
    <w:tmpl w:val="5A444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D1629C"/>
    <w:multiLevelType w:val="hybridMultilevel"/>
    <w:tmpl w:val="AEDCAEB2"/>
    <w:lvl w:ilvl="0" w:tplc="4F1EA76E">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F3F54"/>
    <w:multiLevelType w:val="hybridMultilevel"/>
    <w:tmpl w:val="ADC01546"/>
    <w:lvl w:ilvl="0" w:tplc="0518D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C723C"/>
    <w:multiLevelType w:val="hybridMultilevel"/>
    <w:tmpl w:val="4EFC7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054C1"/>
    <w:multiLevelType w:val="hybridMultilevel"/>
    <w:tmpl w:val="7C94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F763A1"/>
    <w:multiLevelType w:val="hybridMultilevel"/>
    <w:tmpl w:val="E878CBB8"/>
    <w:lvl w:ilvl="0" w:tplc="02F49D36">
      <w:start w:val="1"/>
      <w:numFmt w:val="bullet"/>
      <w:lvlText w:val="•"/>
      <w:lvlJc w:val="left"/>
      <w:pPr>
        <w:tabs>
          <w:tab w:val="num" w:pos="720"/>
        </w:tabs>
        <w:ind w:left="720" w:hanging="360"/>
      </w:pPr>
      <w:rPr>
        <w:rFonts w:ascii="Arial" w:hAnsi="Arial" w:hint="default"/>
      </w:rPr>
    </w:lvl>
    <w:lvl w:ilvl="1" w:tplc="C41E5C10" w:tentative="1">
      <w:start w:val="1"/>
      <w:numFmt w:val="bullet"/>
      <w:lvlText w:val="•"/>
      <w:lvlJc w:val="left"/>
      <w:pPr>
        <w:tabs>
          <w:tab w:val="num" w:pos="1440"/>
        </w:tabs>
        <w:ind w:left="1440" w:hanging="360"/>
      </w:pPr>
      <w:rPr>
        <w:rFonts w:ascii="Arial" w:hAnsi="Arial" w:hint="default"/>
      </w:rPr>
    </w:lvl>
    <w:lvl w:ilvl="2" w:tplc="5150ED14" w:tentative="1">
      <w:start w:val="1"/>
      <w:numFmt w:val="bullet"/>
      <w:lvlText w:val="•"/>
      <w:lvlJc w:val="left"/>
      <w:pPr>
        <w:tabs>
          <w:tab w:val="num" w:pos="2160"/>
        </w:tabs>
        <w:ind w:left="2160" w:hanging="360"/>
      </w:pPr>
      <w:rPr>
        <w:rFonts w:ascii="Arial" w:hAnsi="Arial" w:hint="default"/>
      </w:rPr>
    </w:lvl>
    <w:lvl w:ilvl="3" w:tplc="B0AE9776" w:tentative="1">
      <w:start w:val="1"/>
      <w:numFmt w:val="bullet"/>
      <w:lvlText w:val="•"/>
      <w:lvlJc w:val="left"/>
      <w:pPr>
        <w:tabs>
          <w:tab w:val="num" w:pos="2880"/>
        </w:tabs>
        <w:ind w:left="2880" w:hanging="360"/>
      </w:pPr>
      <w:rPr>
        <w:rFonts w:ascii="Arial" w:hAnsi="Arial" w:hint="default"/>
      </w:rPr>
    </w:lvl>
    <w:lvl w:ilvl="4" w:tplc="2ECE2328" w:tentative="1">
      <w:start w:val="1"/>
      <w:numFmt w:val="bullet"/>
      <w:lvlText w:val="•"/>
      <w:lvlJc w:val="left"/>
      <w:pPr>
        <w:tabs>
          <w:tab w:val="num" w:pos="3600"/>
        </w:tabs>
        <w:ind w:left="3600" w:hanging="360"/>
      </w:pPr>
      <w:rPr>
        <w:rFonts w:ascii="Arial" w:hAnsi="Arial" w:hint="default"/>
      </w:rPr>
    </w:lvl>
    <w:lvl w:ilvl="5" w:tplc="166C86B6" w:tentative="1">
      <w:start w:val="1"/>
      <w:numFmt w:val="bullet"/>
      <w:lvlText w:val="•"/>
      <w:lvlJc w:val="left"/>
      <w:pPr>
        <w:tabs>
          <w:tab w:val="num" w:pos="4320"/>
        </w:tabs>
        <w:ind w:left="4320" w:hanging="360"/>
      </w:pPr>
      <w:rPr>
        <w:rFonts w:ascii="Arial" w:hAnsi="Arial" w:hint="default"/>
      </w:rPr>
    </w:lvl>
    <w:lvl w:ilvl="6" w:tplc="7076F302" w:tentative="1">
      <w:start w:val="1"/>
      <w:numFmt w:val="bullet"/>
      <w:lvlText w:val="•"/>
      <w:lvlJc w:val="left"/>
      <w:pPr>
        <w:tabs>
          <w:tab w:val="num" w:pos="5040"/>
        </w:tabs>
        <w:ind w:left="5040" w:hanging="360"/>
      </w:pPr>
      <w:rPr>
        <w:rFonts w:ascii="Arial" w:hAnsi="Arial" w:hint="default"/>
      </w:rPr>
    </w:lvl>
    <w:lvl w:ilvl="7" w:tplc="25C4522C" w:tentative="1">
      <w:start w:val="1"/>
      <w:numFmt w:val="bullet"/>
      <w:lvlText w:val="•"/>
      <w:lvlJc w:val="left"/>
      <w:pPr>
        <w:tabs>
          <w:tab w:val="num" w:pos="5760"/>
        </w:tabs>
        <w:ind w:left="5760" w:hanging="360"/>
      </w:pPr>
      <w:rPr>
        <w:rFonts w:ascii="Arial" w:hAnsi="Arial" w:hint="default"/>
      </w:rPr>
    </w:lvl>
    <w:lvl w:ilvl="8" w:tplc="F9607074" w:tentative="1">
      <w:start w:val="1"/>
      <w:numFmt w:val="bullet"/>
      <w:lvlText w:val="•"/>
      <w:lvlJc w:val="left"/>
      <w:pPr>
        <w:tabs>
          <w:tab w:val="num" w:pos="6480"/>
        </w:tabs>
        <w:ind w:left="6480" w:hanging="360"/>
      </w:pPr>
      <w:rPr>
        <w:rFonts w:ascii="Arial" w:hAnsi="Arial" w:hint="default"/>
      </w:rPr>
    </w:lvl>
  </w:abstractNum>
  <w:abstractNum w:abstractNumId="22">
    <w:nsid w:val="6B060E28"/>
    <w:multiLevelType w:val="hybridMultilevel"/>
    <w:tmpl w:val="55FA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BC70B0"/>
    <w:multiLevelType w:val="hybridMultilevel"/>
    <w:tmpl w:val="50DC6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EC786E"/>
    <w:multiLevelType w:val="hybridMultilevel"/>
    <w:tmpl w:val="A474A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0B6854"/>
    <w:multiLevelType w:val="hybridMultilevel"/>
    <w:tmpl w:val="05165F4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44083F"/>
    <w:multiLevelType w:val="hybridMultilevel"/>
    <w:tmpl w:val="1F40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508E2"/>
    <w:multiLevelType w:val="hybridMultilevel"/>
    <w:tmpl w:val="ADC01546"/>
    <w:lvl w:ilvl="0" w:tplc="0518D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582210"/>
    <w:multiLevelType w:val="hybridMultilevel"/>
    <w:tmpl w:val="AEDCAEB2"/>
    <w:lvl w:ilvl="0" w:tplc="4F1EA76E">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E0817"/>
    <w:multiLevelType w:val="hybridMultilevel"/>
    <w:tmpl w:val="ADC01546"/>
    <w:lvl w:ilvl="0" w:tplc="0518D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9"/>
  </w:num>
  <w:num w:numId="4">
    <w:abstractNumId w:val="22"/>
  </w:num>
  <w:num w:numId="5">
    <w:abstractNumId w:val="4"/>
  </w:num>
  <w:num w:numId="6">
    <w:abstractNumId w:val="26"/>
  </w:num>
  <w:num w:numId="7">
    <w:abstractNumId w:val="15"/>
  </w:num>
  <w:num w:numId="8">
    <w:abstractNumId w:val="5"/>
  </w:num>
  <w:num w:numId="9">
    <w:abstractNumId w:val="10"/>
  </w:num>
  <w:num w:numId="10">
    <w:abstractNumId w:val="12"/>
  </w:num>
  <w:num w:numId="11">
    <w:abstractNumId w:val="8"/>
  </w:num>
  <w:num w:numId="12">
    <w:abstractNumId w:val="11"/>
  </w:num>
  <w:num w:numId="13">
    <w:abstractNumId w:val="1"/>
  </w:num>
  <w:num w:numId="14">
    <w:abstractNumId w:val="3"/>
  </w:num>
  <w:num w:numId="15">
    <w:abstractNumId w:val="21"/>
  </w:num>
  <w:num w:numId="16">
    <w:abstractNumId w:val="6"/>
  </w:num>
  <w:num w:numId="17">
    <w:abstractNumId w:val="13"/>
  </w:num>
  <w:num w:numId="18">
    <w:abstractNumId w:val="14"/>
  </w:num>
  <w:num w:numId="19">
    <w:abstractNumId w:val="20"/>
  </w:num>
  <w:num w:numId="20">
    <w:abstractNumId w:val="7"/>
  </w:num>
  <w:num w:numId="21">
    <w:abstractNumId w:val="25"/>
  </w:num>
  <w:num w:numId="22">
    <w:abstractNumId w:val="16"/>
  </w:num>
  <w:num w:numId="23">
    <w:abstractNumId w:val="17"/>
  </w:num>
  <w:num w:numId="24">
    <w:abstractNumId w:val="0"/>
  </w:num>
  <w:num w:numId="25">
    <w:abstractNumId w:val="29"/>
  </w:num>
  <w:num w:numId="26">
    <w:abstractNumId w:val="27"/>
  </w:num>
  <w:num w:numId="27">
    <w:abstractNumId w:val="18"/>
  </w:num>
  <w:num w:numId="28">
    <w:abstractNumId w:val="24"/>
  </w:num>
  <w:num w:numId="29">
    <w:abstractNumId w:val="23"/>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90321F"/>
    <w:rsid w:val="00083813"/>
    <w:rsid w:val="000B5236"/>
    <w:rsid w:val="000D71EC"/>
    <w:rsid w:val="000F2366"/>
    <w:rsid w:val="001459B4"/>
    <w:rsid w:val="001F57C9"/>
    <w:rsid w:val="002124DA"/>
    <w:rsid w:val="002136AF"/>
    <w:rsid w:val="002F37E8"/>
    <w:rsid w:val="003278ED"/>
    <w:rsid w:val="003661D3"/>
    <w:rsid w:val="003E3A74"/>
    <w:rsid w:val="00412B13"/>
    <w:rsid w:val="00420EB4"/>
    <w:rsid w:val="00482704"/>
    <w:rsid w:val="004D3C73"/>
    <w:rsid w:val="005015B0"/>
    <w:rsid w:val="00523542"/>
    <w:rsid w:val="00541163"/>
    <w:rsid w:val="005544CA"/>
    <w:rsid w:val="0056428F"/>
    <w:rsid w:val="005C03D6"/>
    <w:rsid w:val="00644346"/>
    <w:rsid w:val="00645158"/>
    <w:rsid w:val="00660E40"/>
    <w:rsid w:val="006A2F97"/>
    <w:rsid w:val="006B14D0"/>
    <w:rsid w:val="007A625B"/>
    <w:rsid w:val="007A7ED8"/>
    <w:rsid w:val="00873407"/>
    <w:rsid w:val="008828D2"/>
    <w:rsid w:val="0090321F"/>
    <w:rsid w:val="00913363"/>
    <w:rsid w:val="00983B51"/>
    <w:rsid w:val="009871BE"/>
    <w:rsid w:val="00A57275"/>
    <w:rsid w:val="00A572A9"/>
    <w:rsid w:val="00AB24E9"/>
    <w:rsid w:val="00BB5734"/>
    <w:rsid w:val="00BC16BD"/>
    <w:rsid w:val="00C017D7"/>
    <w:rsid w:val="00C87275"/>
    <w:rsid w:val="00CD4086"/>
    <w:rsid w:val="00D30465"/>
    <w:rsid w:val="00D343D9"/>
    <w:rsid w:val="00D40F88"/>
    <w:rsid w:val="00D40FD1"/>
    <w:rsid w:val="00D41138"/>
    <w:rsid w:val="00D95BFA"/>
    <w:rsid w:val="00DB4740"/>
    <w:rsid w:val="00DC50AB"/>
    <w:rsid w:val="00DE3863"/>
    <w:rsid w:val="00E015F2"/>
    <w:rsid w:val="00E1348A"/>
    <w:rsid w:val="00E54091"/>
    <w:rsid w:val="00F0690C"/>
    <w:rsid w:val="00FA6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1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90321F"/>
    <w:pPr>
      <w:keepNext/>
      <w:spacing w:line="480" w:lineRule="auto"/>
      <w:outlineLvl w:val="3"/>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0321F"/>
    <w:rPr>
      <w:rFonts w:ascii="Arial" w:eastAsia="Times New Roman" w:hAnsi="Arial" w:cs="Arial"/>
      <w:szCs w:val="24"/>
      <w:u w:val="single"/>
    </w:rPr>
  </w:style>
  <w:style w:type="character" w:styleId="LineNumber">
    <w:name w:val="line number"/>
    <w:basedOn w:val="DefaultParagraphFont"/>
    <w:uiPriority w:val="99"/>
    <w:rsid w:val="0090321F"/>
    <w:rPr>
      <w:rFonts w:cs="Times New Roman"/>
    </w:rPr>
  </w:style>
  <w:style w:type="paragraph" w:styleId="Header">
    <w:name w:val="header"/>
    <w:basedOn w:val="Normal"/>
    <w:link w:val="HeaderChar"/>
    <w:uiPriority w:val="99"/>
    <w:rsid w:val="0090321F"/>
    <w:pPr>
      <w:tabs>
        <w:tab w:val="center" w:pos="4320"/>
        <w:tab w:val="right" w:pos="8640"/>
      </w:tabs>
    </w:pPr>
  </w:style>
  <w:style w:type="character" w:customStyle="1" w:styleId="HeaderChar">
    <w:name w:val="Header Char"/>
    <w:basedOn w:val="DefaultParagraphFont"/>
    <w:link w:val="Header"/>
    <w:uiPriority w:val="99"/>
    <w:rsid w:val="0090321F"/>
    <w:rPr>
      <w:rFonts w:ascii="Times New Roman" w:eastAsia="Times New Roman" w:hAnsi="Times New Roman" w:cs="Times New Roman"/>
      <w:sz w:val="24"/>
      <w:szCs w:val="24"/>
    </w:rPr>
  </w:style>
  <w:style w:type="paragraph" w:styleId="Footer">
    <w:name w:val="footer"/>
    <w:basedOn w:val="Normal"/>
    <w:link w:val="FooterChar"/>
    <w:uiPriority w:val="99"/>
    <w:rsid w:val="0090321F"/>
    <w:pPr>
      <w:tabs>
        <w:tab w:val="center" w:pos="4320"/>
        <w:tab w:val="right" w:pos="8640"/>
      </w:tabs>
    </w:pPr>
  </w:style>
  <w:style w:type="character" w:customStyle="1" w:styleId="FooterChar">
    <w:name w:val="Footer Char"/>
    <w:basedOn w:val="DefaultParagraphFont"/>
    <w:link w:val="Footer"/>
    <w:uiPriority w:val="99"/>
    <w:rsid w:val="0090321F"/>
    <w:rPr>
      <w:rFonts w:ascii="Times New Roman" w:eastAsia="Times New Roman" w:hAnsi="Times New Roman" w:cs="Times New Roman"/>
      <w:sz w:val="24"/>
      <w:szCs w:val="24"/>
    </w:rPr>
  </w:style>
  <w:style w:type="character" w:styleId="PageNumber">
    <w:name w:val="page number"/>
    <w:basedOn w:val="DefaultParagraphFont"/>
    <w:uiPriority w:val="99"/>
    <w:rsid w:val="0090321F"/>
    <w:rPr>
      <w:rFonts w:cs="Times New Roman"/>
    </w:rPr>
  </w:style>
  <w:style w:type="paragraph" w:styleId="BalloonText">
    <w:name w:val="Balloon Text"/>
    <w:basedOn w:val="Normal"/>
    <w:link w:val="BalloonTextChar"/>
    <w:uiPriority w:val="99"/>
    <w:semiHidden/>
    <w:rsid w:val="0090321F"/>
    <w:rPr>
      <w:rFonts w:ascii="Tahoma" w:hAnsi="Tahoma" w:cs="Tahoma"/>
      <w:sz w:val="16"/>
      <w:szCs w:val="16"/>
    </w:rPr>
  </w:style>
  <w:style w:type="character" w:customStyle="1" w:styleId="BalloonTextChar">
    <w:name w:val="Balloon Text Char"/>
    <w:basedOn w:val="DefaultParagraphFont"/>
    <w:link w:val="BalloonText"/>
    <w:uiPriority w:val="99"/>
    <w:semiHidden/>
    <w:rsid w:val="0090321F"/>
    <w:rPr>
      <w:rFonts w:ascii="Tahoma" w:eastAsia="Times New Roman" w:hAnsi="Tahoma" w:cs="Tahoma"/>
      <w:sz w:val="16"/>
      <w:szCs w:val="16"/>
    </w:rPr>
  </w:style>
  <w:style w:type="table" w:styleId="TableGrid">
    <w:name w:val="Table Grid"/>
    <w:basedOn w:val="TableNormal"/>
    <w:uiPriority w:val="59"/>
    <w:rsid w:val="009032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0321F"/>
    <w:rPr>
      <w:rFonts w:cs="Times New Roman"/>
      <w:sz w:val="16"/>
      <w:szCs w:val="16"/>
    </w:rPr>
  </w:style>
  <w:style w:type="paragraph" w:styleId="CommentText">
    <w:name w:val="annotation text"/>
    <w:basedOn w:val="Normal"/>
    <w:link w:val="CommentTextChar"/>
    <w:uiPriority w:val="99"/>
    <w:semiHidden/>
    <w:rsid w:val="0090321F"/>
    <w:rPr>
      <w:sz w:val="20"/>
      <w:szCs w:val="20"/>
    </w:rPr>
  </w:style>
  <w:style w:type="character" w:customStyle="1" w:styleId="CommentTextChar">
    <w:name w:val="Comment Text Char"/>
    <w:basedOn w:val="DefaultParagraphFont"/>
    <w:link w:val="CommentText"/>
    <w:uiPriority w:val="99"/>
    <w:semiHidden/>
    <w:rsid w:val="00903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0321F"/>
    <w:rPr>
      <w:b/>
      <w:bCs/>
    </w:rPr>
  </w:style>
  <w:style w:type="character" w:customStyle="1" w:styleId="CommentSubjectChar">
    <w:name w:val="Comment Subject Char"/>
    <w:basedOn w:val="CommentTextChar"/>
    <w:link w:val="CommentSubject"/>
    <w:uiPriority w:val="99"/>
    <w:semiHidden/>
    <w:rsid w:val="0090321F"/>
    <w:rPr>
      <w:rFonts w:ascii="Times New Roman" w:eastAsia="Times New Roman" w:hAnsi="Times New Roman" w:cs="Times New Roman"/>
      <w:b/>
      <w:bCs/>
      <w:sz w:val="20"/>
      <w:szCs w:val="20"/>
    </w:rPr>
  </w:style>
  <w:style w:type="character" w:styleId="Hyperlink">
    <w:name w:val="Hyperlink"/>
    <w:basedOn w:val="DefaultParagraphFont"/>
    <w:uiPriority w:val="99"/>
    <w:rsid w:val="0090321F"/>
    <w:rPr>
      <w:rFonts w:cs="Times New Roman"/>
      <w:color w:val="0000FF"/>
      <w:u w:val="single"/>
    </w:rPr>
  </w:style>
  <w:style w:type="character" w:styleId="FollowedHyperlink">
    <w:name w:val="FollowedHyperlink"/>
    <w:basedOn w:val="DefaultParagraphFont"/>
    <w:uiPriority w:val="99"/>
    <w:rsid w:val="0090321F"/>
    <w:rPr>
      <w:rFonts w:cs="Times New Roman"/>
      <w:color w:val="800080"/>
      <w:u w:val="single"/>
    </w:rPr>
  </w:style>
  <w:style w:type="paragraph" w:styleId="EndnoteText">
    <w:name w:val="endnote text"/>
    <w:basedOn w:val="Normal"/>
    <w:link w:val="EndnoteTextChar"/>
    <w:uiPriority w:val="99"/>
    <w:semiHidden/>
    <w:unhideWhenUsed/>
    <w:rsid w:val="0090321F"/>
    <w:rPr>
      <w:sz w:val="20"/>
      <w:szCs w:val="20"/>
    </w:rPr>
  </w:style>
  <w:style w:type="character" w:customStyle="1" w:styleId="EndnoteTextChar">
    <w:name w:val="Endnote Text Char"/>
    <w:basedOn w:val="DefaultParagraphFont"/>
    <w:link w:val="EndnoteText"/>
    <w:uiPriority w:val="99"/>
    <w:semiHidden/>
    <w:rsid w:val="0090321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0321F"/>
    <w:rPr>
      <w:vertAlign w:val="superscript"/>
    </w:rPr>
  </w:style>
  <w:style w:type="paragraph" w:styleId="Revision">
    <w:name w:val="Revision"/>
    <w:hidden/>
    <w:uiPriority w:val="99"/>
    <w:semiHidden/>
    <w:rsid w:val="0090321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321F"/>
    <w:pPr>
      <w:ind w:left="720"/>
      <w:contextualSpacing/>
    </w:pPr>
  </w:style>
  <w:style w:type="paragraph" w:customStyle="1" w:styleId="EndNoteBibliographyTitle">
    <w:name w:val="EndNote Bibliography Title"/>
    <w:basedOn w:val="Normal"/>
    <w:link w:val="EndNoteBibliographyTitleChar"/>
    <w:rsid w:val="0090321F"/>
    <w:pPr>
      <w:jc w:val="center"/>
    </w:pPr>
    <w:rPr>
      <w:rFonts w:ascii="Arial" w:hAnsi="Arial" w:cs="Arial"/>
      <w:noProof/>
      <w:sz w:val="22"/>
    </w:rPr>
  </w:style>
  <w:style w:type="character" w:customStyle="1" w:styleId="EndNoteBibliographyTitleChar">
    <w:name w:val="EndNote Bibliography Title Char"/>
    <w:basedOn w:val="DefaultParagraphFont"/>
    <w:link w:val="EndNoteBibliographyTitle"/>
    <w:rsid w:val="0090321F"/>
    <w:rPr>
      <w:rFonts w:ascii="Arial" w:eastAsia="Times New Roman" w:hAnsi="Arial" w:cs="Arial"/>
      <w:noProof/>
      <w:szCs w:val="24"/>
    </w:rPr>
  </w:style>
  <w:style w:type="paragraph" w:customStyle="1" w:styleId="EndNoteBibliography">
    <w:name w:val="EndNote Bibliography"/>
    <w:basedOn w:val="Normal"/>
    <w:link w:val="EndNoteBibliographyChar"/>
    <w:rsid w:val="0090321F"/>
    <w:pPr>
      <w:spacing w:line="480" w:lineRule="auto"/>
    </w:pPr>
    <w:rPr>
      <w:rFonts w:ascii="Arial" w:hAnsi="Arial" w:cs="Arial"/>
      <w:noProof/>
      <w:sz w:val="22"/>
    </w:rPr>
  </w:style>
  <w:style w:type="character" w:customStyle="1" w:styleId="EndNoteBibliographyChar">
    <w:name w:val="EndNote Bibliography Char"/>
    <w:basedOn w:val="DefaultParagraphFont"/>
    <w:link w:val="EndNoteBibliography"/>
    <w:rsid w:val="0090321F"/>
    <w:rPr>
      <w:rFonts w:ascii="Arial" w:eastAsia="Times New Roman" w:hAnsi="Arial" w:cs="Arial"/>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1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90321F"/>
    <w:pPr>
      <w:keepNext/>
      <w:spacing w:line="480" w:lineRule="auto"/>
      <w:outlineLvl w:val="3"/>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0321F"/>
    <w:rPr>
      <w:rFonts w:ascii="Arial" w:eastAsia="Times New Roman" w:hAnsi="Arial" w:cs="Arial"/>
      <w:szCs w:val="24"/>
      <w:u w:val="single"/>
    </w:rPr>
  </w:style>
  <w:style w:type="character" w:styleId="LineNumber">
    <w:name w:val="line number"/>
    <w:basedOn w:val="DefaultParagraphFont"/>
    <w:uiPriority w:val="99"/>
    <w:rsid w:val="0090321F"/>
    <w:rPr>
      <w:rFonts w:cs="Times New Roman"/>
    </w:rPr>
  </w:style>
  <w:style w:type="paragraph" w:styleId="Header">
    <w:name w:val="header"/>
    <w:basedOn w:val="Normal"/>
    <w:link w:val="HeaderChar"/>
    <w:uiPriority w:val="99"/>
    <w:rsid w:val="0090321F"/>
    <w:pPr>
      <w:tabs>
        <w:tab w:val="center" w:pos="4320"/>
        <w:tab w:val="right" w:pos="8640"/>
      </w:tabs>
    </w:pPr>
  </w:style>
  <w:style w:type="character" w:customStyle="1" w:styleId="HeaderChar">
    <w:name w:val="Header Char"/>
    <w:basedOn w:val="DefaultParagraphFont"/>
    <w:link w:val="Header"/>
    <w:uiPriority w:val="99"/>
    <w:rsid w:val="0090321F"/>
    <w:rPr>
      <w:rFonts w:ascii="Times New Roman" w:eastAsia="Times New Roman" w:hAnsi="Times New Roman" w:cs="Times New Roman"/>
      <w:sz w:val="24"/>
      <w:szCs w:val="24"/>
    </w:rPr>
  </w:style>
  <w:style w:type="paragraph" w:styleId="Footer">
    <w:name w:val="footer"/>
    <w:basedOn w:val="Normal"/>
    <w:link w:val="FooterChar"/>
    <w:uiPriority w:val="99"/>
    <w:rsid w:val="0090321F"/>
    <w:pPr>
      <w:tabs>
        <w:tab w:val="center" w:pos="4320"/>
        <w:tab w:val="right" w:pos="8640"/>
      </w:tabs>
    </w:pPr>
  </w:style>
  <w:style w:type="character" w:customStyle="1" w:styleId="FooterChar">
    <w:name w:val="Footer Char"/>
    <w:basedOn w:val="DefaultParagraphFont"/>
    <w:link w:val="Footer"/>
    <w:uiPriority w:val="99"/>
    <w:rsid w:val="0090321F"/>
    <w:rPr>
      <w:rFonts w:ascii="Times New Roman" w:eastAsia="Times New Roman" w:hAnsi="Times New Roman" w:cs="Times New Roman"/>
      <w:sz w:val="24"/>
      <w:szCs w:val="24"/>
    </w:rPr>
  </w:style>
  <w:style w:type="character" w:styleId="PageNumber">
    <w:name w:val="page number"/>
    <w:basedOn w:val="DefaultParagraphFont"/>
    <w:uiPriority w:val="99"/>
    <w:rsid w:val="0090321F"/>
    <w:rPr>
      <w:rFonts w:cs="Times New Roman"/>
    </w:rPr>
  </w:style>
  <w:style w:type="paragraph" w:styleId="BalloonText">
    <w:name w:val="Balloon Text"/>
    <w:basedOn w:val="Normal"/>
    <w:link w:val="BalloonTextChar"/>
    <w:uiPriority w:val="99"/>
    <w:semiHidden/>
    <w:rsid w:val="0090321F"/>
    <w:rPr>
      <w:rFonts w:ascii="Tahoma" w:hAnsi="Tahoma" w:cs="Tahoma"/>
      <w:sz w:val="16"/>
      <w:szCs w:val="16"/>
    </w:rPr>
  </w:style>
  <w:style w:type="character" w:customStyle="1" w:styleId="BalloonTextChar">
    <w:name w:val="Balloon Text Char"/>
    <w:basedOn w:val="DefaultParagraphFont"/>
    <w:link w:val="BalloonText"/>
    <w:uiPriority w:val="99"/>
    <w:semiHidden/>
    <w:rsid w:val="0090321F"/>
    <w:rPr>
      <w:rFonts w:ascii="Tahoma" w:eastAsia="Times New Roman" w:hAnsi="Tahoma" w:cs="Tahoma"/>
      <w:sz w:val="16"/>
      <w:szCs w:val="16"/>
    </w:rPr>
  </w:style>
  <w:style w:type="table" w:styleId="TableGrid">
    <w:name w:val="Table Grid"/>
    <w:basedOn w:val="TableNormal"/>
    <w:uiPriority w:val="59"/>
    <w:rsid w:val="009032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0321F"/>
    <w:rPr>
      <w:rFonts w:cs="Times New Roman"/>
      <w:sz w:val="16"/>
      <w:szCs w:val="16"/>
    </w:rPr>
  </w:style>
  <w:style w:type="paragraph" w:styleId="CommentText">
    <w:name w:val="annotation text"/>
    <w:basedOn w:val="Normal"/>
    <w:link w:val="CommentTextChar"/>
    <w:uiPriority w:val="99"/>
    <w:semiHidden/>
    <w:rsid w:val="0090321F"/>
    <w:rPr>
      <w:sz w:val="20"/>
      <w:szCs w:val="20"/>
    </w:rPr>
  </w:style>
  <w:style w:type="character" w:customStyle="1" w:styleId="CommentTextChar">
    <w:name w:val="Comment Text Char"/>
    <w:basedOn w:val="DefaultParagraphFont"/>
    <w:link w:val="CommentText"/>
    <w:uiPriority w:val="99"/>
    <w:semiHidden/>
    <w:rsid w:val="00903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0321F"/>
    <w:rPr>
      <w:b/>
      <w:bCs/>
    </w:rPr>
  </w:style>
  <w:style w:type="character" w:customStyle="1" w:styleId="CommentSubjectChar">
    <w:name w:val="Comment Subject Char"/>
    <w:basedOn w:val="CommentTextChar"/>
    <w:link w:val="CommentSubject"/>
    <w:uiPriority w:val="99"/>
    <w:semiHidden/>
    <w:rsid w:val="0090321F"/>
    <w:rPr>
      <w:rFonts w:ascii="Times New Roman" w:eastAsia="Times New Roman" w:hAnsi="Times New Roman" w:cs="Times New Roman"/>
      <w:b/>
      <w:bCs/>
      <w:sz w:val="20"/>
      <w:szCs w:val="20"/>
    </w:rPr>
  </w:style>
  <w:style w:type="character" w:styleId="Hyperlink">
    <w:name w:val="Hyperlink"/>
    <w:basedOn w:val="DefaultParagraphFont"/>
    <w:uiPriority w:val="99"/>
    <w:rsid w:val="0090321F"/>
    <w:rPr>
      <w:rFonts w:cs="Times New Roman"/>
      <w:color w:val="0000FF"/>
      <w:u w:val="single"/>
    </w:rPr>
  </w:style>
  <w:style w:type="character" w:styleId="FollowedHyperlink">
    <w:name w:val="FollowedHyperlink"/>
    <w:basedOn w:val="DefaultParagraphFont"/>
    <w:uiPriority w:val="99"/>
    <w:rsid w:val="0090321F"/>
    <w:rPr>
      <w:rFonts w:cs="Times New Roman"/>
      <w:color w:val="800080"/>
      <w:u w:val="single"/>
    </w:rPr>
  </w:style>
  <w:style w:type="paragraph" w:styleId="EndnoteText">
    <w:name w:val="endnote text"/>
    <w:basedOn w:val="Normal"/>
    <w:link w:val="EndnoteTextChar"/>
    <w:uiPriority w:val="99"/>
    <w:semiHidden/>
    <w:unhideWhenUsed/>
    <w:rsid w:val="0090321F"/>
    <w:rPr>
      <w:sz w:val="20"/>
      <w:szCs w:val="20"/>
    </w:rPr>
  </w:style>
  <w:style w:type="character" w:customStyle="1" w:styleId="EndnoteTextChar">
    <w:name w:val="Endnote Text Char"/>
    <w:basedOn w:val="DefaultParagraphFont"/>
    <w:link w:val="EndnoteText"/>
    <w:uiPriority w:val="99"/>
    <w:semiHidden/>
    <w:rsid w:val="0090321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0321F"/>
    <w:rPr>
      <w:vertAlign w:val="superscript"/>
    </w:rPr>
  </w:style>
  <w:style w:type="paragraph" w:styleId="Revision">
    <w:name w:val="Revision"/>
    <w:hidden/>
    <w:uiPriority w:val="99"/>
    <w:semiHidden/>
    <w:rsid w:val="0090321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321F"/>
    <w:pPr>
      <w:ind w:left="720"/>
      <w:contextualSpacing/>
    </w:pPr>
  </w:style>
  <w:style w:type="paragraph" w:customStyle="1" w:styleId="EndNoteBibliographyTitle">
    <w:name w:val="EndNote Bibliography Title"/>
    <w:basedOn w:val="Normal"/>
    <w:link w:val="EndNoteBibliographyTitleChar"/>
    <w:rsid w:val="0090321F"/>
    <w:pPr>
      <w:jc w:val="center"/>
    </w:pPr>
    <w:rPr>
      <w:rFonts w:ascii="Arial" w:hAnsi="Arial" w:cs="Arial"/>
      <w:noProof/>
      <w:sz w:val="22"/>
    </w:rPr>
  </w:style>
  <w:style w:type="character" w:customStyle="1" w:styleId="EndNoteBibliographyTitleChar">
    <w:name w:val="EndNote Bibliography Title Char"/>
    <w:basedOn w:val="DefaultParagraphFont"/>
    <w:link w:val="EndNoteBibliographyTitle"/>
    <w:rsid w:val="0090321F"/>
    <w:rPr>
      <w:rFonts w:ascii="Arial" w:eastAsia="Times New Roman" w:hAnsi="Arial" w:cs="Arial"/>
      <w:noProof/>
      <w:szCs w:val="24"/>
    </w:rPr>
  </w:style>
  <w:style w:type="paragraph" w:customStyle="1" w:styleId="EndNoteBibliography">
    <w:name w:val="EndNote Bibliography"/>
    <w:basedOn w:val="Normal"/>
    <w:link w:val="EndNoteBibliographyChar"/>
    <w:rsid w:val="0090321F"/>
    <w:pPr>
      <w:spacing w:line="480" w:lineRule="auto"/>
    </w:pPr>
    <w:rPr>
      <w:rFonts w:ascii="Arial" w:hAnsi="Arial" w:cs="Arial"/>
      <w:noProof/>
      <w:sz w:val="22"/>
    </w:rPr>
  </w:style>
  <w:style w:type="character" w:customStyle="1" w:styleId="EndNoteBibliographyChar">
    <w:name w:val="EndNote Bibliography Char"/>
    <w:basedOn w:val="DefaultParagraphFont"/>
    <w:link w:val="EndNoteBibliography"/>
    <w:rsid w:val="0090321F"/>
    <w:rPr>
      <w:rFonts w:ascii="Arial" w:eastAsia="Times New Roman" w:hAnsi="Arial" w:cs="Arial"/>
      <w:noProof/>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Johns Hopkins Bloomberg School of Public Health</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dhanna</dc:creator>
  <cp:lastModifiedBy>dhanna</cp:lastModifiedBy>
  <cp:revision>2</cp:revision>
  <dcterms:created xsi:type="dcterms:W3CDTF">2013-10-01T02:22:00Z</dcterms:created>
  <dcterms:modified xsi:type="dcterms:W3CDTF">2013-10-01T02:22:00Z</dcterms:modified>
</cp:coreProperties>
</file>