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614" w:rsidRPr="00AC7662" w:rsidRDefault="002E1793" w:rsidP="00235083">
      <w:pPr>
        <w:rPr>
          <w:rFonts w:ascii="Arial" w:hAnsi="Arial"/>
          <w:b/>
        </w:rPr>
      </w:pPr>
      <w:r w:rsidRPr="00AC7662">
        <w:rPr>
          <w:rFonts w:ascii="Arial" w:hAnsi="Arial"/>
          <w:b/>
        </w:rPr>
        <w:t>Methods</w:t>
      </w:r>
      <w:r w:rsidR="001926D1">
        <w:rPr>
          <w:rFonts w:ascii="Arial" w:hAnsi="Arial"/>
          <w:b/>
        </w:rPr>
        <w:t xml:space="preserve"> S1</w:t>
      </w:r>
    </w:p>
    <w:p w:rsidR="00AC7662" w:rsidRDefault="00AC7662" w:rsidP="00235083">
      <w:pPr>
        <w:rPr>
          <w:rFonts w:ascii="Arial" w:hAnsi="Arial"/>
          <w:sz w:val="22"/>
        </w:rPr>
      </w:pPr>
    </w:p>
    <w:p w:rsidR="00AC7662" w:rsidRPr="00AC7662" w:rsidRDefault="00AC7662" w:rsidP="00235083">
      <w:pPr>
        <w:rPr>
          <w:rFonts w:ascii="Arial" w:hAnsi="Arial"/>
          <w:i/>
          <w:sz w:val="22"/>
          <w:u w:val="single"/>
        </w:rPr>
      </w:pPr>
      <w:r>
        <w:rPr>
          <w:rFonts w:ascii="Arial" w:hAnsi="Arial"/>
          <w:i/>
          <w:sz w:val="22"/>
          <w:u w:val="single"/>
        </w:rPr>
        <w:t>Real-time PCR</w:t>
      </w:r>
    </w:p>
    <w:p w:rsidR="002E1793" w:rsidRDefault="002E1793" w:rsidP="00235083">
      <w:pPr>
        <w:rPr>
          <w:rFonts w:ascii="Arial" w:hAnsi="Arial"/>
          <w:sz w:val="22"/>
        </w:rPr>
      </w:pPr>
      <w:r w:rsidRPr="007239B8">
        <w:rPr>
          <w:rFonts w:ascii="Arial" w:hAnsi="Arial"/>
          <w:sz w:val="22"/>
        </w:rPr>
        <w:t>Real-time PCR was carried out as described previously. Cycling conditions were as follows:</w:t>
      </w:r>
      <w:r w:rsidR="00107C9A">
        <w:rPr>
          <w:rFonts w:ascii="Arial" w:hAnsi="Arial"/>
          <w:sz w:val="22"/>
        </w:rPr>
        <w:t xml:space="preserve"> </w:t>
      </w:r>
      <w:r w:rsidRPr="007239B8">
        <w:rPr>
          <w:rFonts w:ascii="Arial" w:hAnsi="Arial"/>
          <w:sz w:val="22"/>
        </w:rPr>
        <w:t>50°C for 2 minutes and 95°C for 2 minutes, followed by 40 cycles at 95°C for 10 seconds and annealing/extension at 60°C for 30 seconds</w:t>
      </w:r>
      <w:r w:rsidR="005A2545">
        <w:rPr>
          <w:rFonts w:ascii="Arial" w:hAnsi="Arial"/>
          <w:sz w:val="22"/>
        </w:rPr>
        <w:t>,</w:t>
      </w:r>
      <w:r w:rsidR="005A2545" w:rsidRPr="007239B8">
        <w:rPr>
          <w:rFonts w:ascii="Arial" w:hAnsi="Arial"/>
          <w:sz w:val="22"/>
        </w:rPr>
        <w:t xml:space="preserve"> </w:t>
      </w:r>
      <w:r w:rsidRPr="007239B8">
        <w:rPr>
          <w:rFonts w:ascii="Arial" w:hAnsi="Arial"/>
          <w:sz w:val="22"/>
        </w:rPr>
        <w:t>followed by a final extension at 72°C for 7 minutes.</w:t>
      </w:r>
    </w:p>
    <w:p w:rsidR="002E1793" w:rsidRDefault="002E1793" w:rsidP="00235083">
      <w:pPr>
        <w:rPr>
          <w:rFonts w:ascii="Arial" w:hAnsi="Arial"/>
          <w:sz w:val="22"/>
        </w:rPr>
      </w:pPr>
    </w:p>
    <w:p w:rsidR="002E1793" w:rsidRPr="00AC7662" w:rsidRDefault="002E1793" w:rsidP="00235083">
      <w:pPr>
        <w:jc w:val="both"/>
        <w:rPr>
          <w:rFonts w:ascii="Arial" w:hAnsi="Arial" w:cs="Arial"/>
          <w:i/>
          <w:color w:val="191919"/>
          <w:sz w:val="22"/>
          <w:szCs w:val="22"/>
          <w:u w:val="single"/>
        </w:rPr>
      </w:pPr>
      <w:r w:rsidRPr="00AC7662">
        <w:rPr>
          <w:rFonts w:ascii="Arial" w:hAnsi="Arial" w:cs="Arial"/>
          <w:i/>
          <w:color w:val="191919"/>
          <w:sz w:val="22"/>
          <w:szCs w:val="22"/>
          <w:u w:val="single"/>
        </w:rPr>
        <w:t xml:space="preserve">Proliferation Assay </w:t>
      </w:r>
    </w:p>
    <w:p w:rsidR="00AC7662" w:rsidRDefault="002E1793" w:rsidP="00235083">
      <w:pPr>
        <w:jc w:val="both"/>
        <w:rPr>
          <w:rFonts w:ascii="Arial" w:hAnsi="Arial" w:cs="Arial"/>
          <w:color w:val="191919"/>
          <w:sz w:val="22"/>
          <w:szCs w:val="22"/>
        </w:rPr>
      </w:pPr>
      <w:r w:rsidRPr="00AC7662">
        <w:rPr>
          <w:rFonts w:ascii="Arial" w:hAnsi="Arial" w:cs="Arial"/>
          <w:color w:val="191919"/>
          <w:sz w:val="22"/>
          <w:szCs w:val="22"/>
        </w:rPr>
        <w:t xml:space="preserve">C4-2B and MC3T3 </w:t>
      </w:r>
      <w:r w:rsidR="00AC7662">
        <w:rPr>
          <w:rFonts w:ascii="Arial" w:hAnsi="Arial" w:cs="Arial"/>
          <w:color w:val="191919"/>
          <w:sz w:val="22"/>
          <w:szCs w:val="22"/>
        </w:rPr>
        <w:t xml:space="preserve">cells </w:t>
      </w:r>
      <w:r w:rsidRPr="00AC7662">
        <w:rPr>
          <w:rFonts w:ascii="Arial" w:hAnsi="Arial" w:cs="Arial"/>
          <w:color w:val="191919"/>
          <w:sz w:val="22"/>
          <w:szCs w:val="22"/>
        </w:rPr>
        <w:t>(2.4</w:t>
      </w:r>
      <w:r w:rsidR="006E4849">
        <w:rPr>
          <w:rFonts w:ascii="Arial" w:hAnsi="Arial" w:cs="Arial"/>
          <w:color w:val="191919"/>
          <w:sz w:val="22"/>
          <w:szCs w:val="22"/>
        </w:rPr>
        <w:t>×</w:t>
      </w:r>
      <w:r w:rsidRPr="00AC7662">
        <w:rPr>
          <w:rFonts w:ascii="Arial" w:hAnsi="Arial" w:cs="Arial"/>
          <w:color w:val="191919"/>
          <w:sz w:val="22"/>
          <w:szCs w:val="22"/>
        </w:rPr>
        <w:t>10</w:t>
      </w:r>
      <w:r w:rsidRPr="00AC7662">
        <w:rPr>
          <w:rFonts w:ascii="Arial" w:hAnsi="Arial" w:cs="Arial"/>
          <w:color w:val="191919"/>
          <w:sz w:val="22"/>
          <w:szCs w:val="22"/>
          <w:vertAlign w:val="superscript"/>
        </w:rPr>
        <w:t>4</w:t>
      </w:r>
      <w:r w:rsidRPr="00AC7662">
        <w:rPr>
          <w:rFonts w:ascii="Arial" w:hAnsi="Arial" w:cs="Arial"/>
          <w:color w:val="191919"/>
          <w:sz w:val="22"/>
          <w:szCs w:val="22"/>
        </w:rPr>
        <w:t xml:space="preserve"> cells/well) were </w:t>
      </w:r>
      <w:proofErr w:type="spellStart"/>
      <w:r w:rsidRPr="00AC7662">
        <w:rPr>
          <w:rFonts w:ascii="Arial" w:hAnsi="Arial" w:cs="Arial"/>
          <w:color w:val="191919"/>
          <w:sz w:val="22"/>
          <w:szCs w:val="22"/>
        </w:rPr>
        <w:t>plated</w:t>
      </w:r>
      <w:proofErr w:type="spellEnd"/>
      <w:r w:rsidRPr="00AC7662">
        <w:rPr>
          <w:rFonts w:ascii="Arial" w:hAnsi="Arial" w:cs="Arial"/>
          <w:color w:val="191919"/>
          <w:sz w:val="22"/>
          <w:szCs w:val="22"/>
        </w:rPr>
        <w:t xml:space="preserve"> in a 6-well plate in MEM</w:t>
      </w:r>
      <w:r w:rsidR="00AC58E6">
        <w:rPr>
          <w:rFonts w:ascii="Arial" w:hAnsi="Arial" w:cs="Arial"/>
          <w:color w:val="191919"/>
          <w:sz w:val="22"/>
          <w:szCs w:val="22"/>
        </w:rPr>
        <w:t xml:space="preserve"> </w:t>
      </w:r>
      <w:r w:rsidRPr="00AC7662">
        <w:rPr>
          <w:rFonts w:ascii="Arial" w:hAnsi="Arial" w:cs="Arial"/>
          <w:color w:val="191919"/>
          <w:sz w:val="22"/>
          <w:szCs w:val="22"/>
        </w:rPr>
        <w:t>+</w:t>
      </w:r>
      <w:r w:rsidR="00AC58E6">
        <w:rPr>
          <w:rFonts w:ascii="Arial" w:hAnsi="Arial" w:cs="Arial"/>
          <w:color w:val="191919"/>
          <w:sz w:val="22"/>
          <w:szCs w:val="22"/>
        </w:rPr>
        <w:t xml:space="preserve"> </w:t>
      </w:r>
      <w:r w:rsidRPr="00AC7662">
        <w:rPr>
          <w:rFonts w:ascii="Arial" w:hAnsi="Arial" w:cs="Arial"/>
          <w:color w:val="191919"/>
          <w:sz w:val="22"/>
          <w:szCs w:val="22"/>
        </w:rPr>
        <w:t>10% FBS overnight, followed by treatment with 0.01, 0.03, 0.10, 0.30, 1.00</w:t>
      </w:r>
      <w:r w:rsidR="006E4849">
        <w:rPr>
          <w:rFonts w:ascii="Arial" w:hAnsi="Arial" w:cs="Arial"/>
          <w:color w:val="191919"/>
          <w:sz w:val="22"/>
          <w:szCs w:val="22"/>
        </w:rPr>
        <w:t>,</w:t>
      </w:r>
      <w:r w:rsidRPr="00AC7662">
        <w:rPr>
          <w:rFonts w:ascii="Arial" w:hAnsi="Arial" w:cs="Arial"/>
          <w:color w:val="191919"/>
          <w:sz w:val="22"/>
          <w:szCs w:val="22"/>
        </w:rPr>
        <w:t xml:space="preserve"> or 3.00 </w:t>
      </w:r>
      <w:r w:rsidR="002F6BC9">
        <w:rPr>
          <w:rFonts w:ascii="Arial" w:hAnsi="Arial" w:cs="Arial"/>
          <w:color w:val="000000"/>
          <w:sz w:val="22"/>
          <w:szCs w:val="22"/>
        </w:rPr>
        <w:t>µ</w:t>
      </w:r>
      <w:r w:rsidRPr="00AC7662">
        <w:rPr>
          <w:rFonts w:ascii="Arial" w:hAnsi="Arial" w:cs="Arial"/>
          <w:color w:val="191919"/>
          <w:sz w:val="22"/>
          <w:szCs w:val="22"/>
        </w:rPr>
        <w:t xml:space="preserve">M cabozantinib for 5 days. Cells were </w:t>
      </w:r>
      <w:proofErr w:type="spellStart"/>
      <w:r w:rsidRPr="00AC7662">
        <w:rPr>
          <w:rFonts w:ascii="Arial" w:hAnsi="Arial" w:cs="Arial"/>
          <w:color w:val="191919"/>
          <w:sz w:val="22"/>
          <w:szCs w:val="22"/>
        </w:rPr>
        <w:t>trypsinized</w:t>
      </w:r>
      <w:proofErr w:type="spellEnd"/>
      <w:r w:rsidRPr="00AC7662">
        <w:rPr>
          <w:rFonts w:ascii="Arial" w:hAnsi="Arial" w:cs="Arial"/>
          <w:color w:val="191919"/>
          <w:sz w:val="22"/>
          <w:szCs w:val="22"/>
        </w:rPr>
        <w:t xml:space="preserve"> and counted with a </w:t>
      </w:r>
      <w:proofErr w:type="spellStart"/>
      <w:r w:rsidRPr="00AC7662">
        <w:rPr>
          <w:rFonts w:ascii="Arial" w:hAnsi="Arial" w:cs="Arial"/>
          <w:color w:val="191919"/>
          <w:sz w:val="22"/>
          <w:szCs w:val="22"/>
        </w:rPr>
        <w:t>hemocytometer</w:t>
      </w:r>
      <w:proofErr w:type="spellEnd"/>
      <w:r w:rsidRPr="00AC7662">
        <w:rPr>
          <w:rFonts w:ascii="Arial" w:hAnsi="Arial" w:cs="Arial"/>
          <w:color w:val="191919"/>
          <w:sz w:val="22"/>
          <w:szCs w:val="22"/>
        </w:rPr>
        <w:t>. Experiments were performed at least three time</w:t>
      </w:r>
      <w:r w:rsidR="006E4849">
        <w:rPr>
          <w:rFonts w:ascii="Arial" w:hAnsi="Arial" w:cs="Arial"/>
          <w:color w:val="191919"/>
          <w:sz w:val="22"/>
          <w:szCs w:val="22"/>
        </w:rPr>
        <w:t>s</w:t>
      </w:r>
      <w:r w:rsidRPr="00AC7662">
        <w:rPr>
          <w:rFonts w:ascii="Arial" w:hAnsi="Arial" w:cs="Arial"/>
          <w:color w:val="191919"/>
          <w:sz w:val="22"/>
          <w:szCs w:val="22"/>
        </w:rPr>
        <w:t xml:space="preserve"> and carrie</w:t>
      </w:r>
      <w:r w:rsidR="006E4849">
        <w:rPr>
          <w:rFonts w:ascii="Arial" w:hAnsi="Arial" w:cs="Arial"/>
          <w:color w:val="191919"/>
          <w:sz w:val="22"/>
          <w:szCs w:val="22"/>
        </w:rPr>
        <w:t>d</w:t>
      </w:r>
      <w:r w:rsidRPr="00AC7662">
        <w:rPr>
          <w:rFonts w:ascii="Arial" w:hAnsi="Arial" w:cs="Arial"/>
          <w:color w:val="191919"/>
          <w:sz w:val="22"/>
          <w:szCs w:val="22"/>
        </w:rPr>
        <w:t xml:space="preserve"> out in duplicate.</w:t>
      </w:r>
    </w:p>
    <w:p w:rsidR="002E1793" w:rsidRPr="00AC7662" w:rsidRDefault="002E1793" w:rsidP="00235083">
      <w:pPr>
        <w:jc w:val="both"/>
        <w:rPr>
          <w:rFonts w:ascii="Arial" w:hAnsi="Arial" w:cs="Arial"/>
          <w:color w:val="191919"/>
          <w:sz w:val="22"/>
          <w:szCs w:val="22"/>
        </w:rPr>
      </w:pPr>
    </w:p>
    <w:p w:rsidR="002E1793" w:rsidRPr="00AC7662" w:rsidRDefault="002E1793" w:rsidP="00235083">
      <w:pPr>
        <w:jc w:val="both"/>
        <w:rPr>
          <w:rFonts w:ascii="Arial" w:hAnsi="Arial" w:cs="Arial"/>
          <w:i/>
          <w:color w:val="191919"/>
          <w:sz w:val="22"/>
          <w:szCs w:val="22"/>
          <w:u w:val="single"/>
        </w:rPr>
      </w:pPr>
      <w:r w:rsidRPr="00AC7662">
        <w:rPr>
          <w:rFonts w:ascii="Arial" w:hAnsi="Arial" w:cs="Arial"/>
          <w:i/>
          <w:color w:val="191919"/>
          <w:sz w:val="22"/>
          <w:szCs w:val="22"/>
          <w:u w:val="single"/>
        </w:rPr>
        <w:t>Mineralization Assay</w:t>
      </w:r>
    </w:p>
    <w:p w:rsidR="00AC7662" w:rsidRDefault="002E1793" w:rsidP="00235083">
      <w:pPr>
        <w:jc w:val="both"/>
        <w:rPr>
          <w:rFonts w:ascii="Arial" w:hAnsi="Arial" w:cs="Arial"/>
          <w:color w:val="191919"/>
          <w:sz w:val="22"/>
          <w:szCs w:val="22"/>
        </w:rPr>
      </w:pPr>
      <w:r w:rsidRPr="00AC7662">
        <w:rPr>
          <w:rFonts w:ascii="Arial" w:hAnsi="Arial" w:cs="Arial"/>
          <w:color w:val="191919"/>
          <w:sz w:val="22"/>
          <w:szCs w:val="22"/>
        </w:rPr>
        <w:t xml:space="preserve">MC3T3 cells were seeded in MEM + </w:t>
      </w:r>
      <w:r w:rsidRPr="00AC7662">
        <w:rPr>
          <w:rFonts w:ascii="Arial" w:hAnsi="Arial" w:cs="Arial"/>
          <w:sz w:val="22"/>
          <w:szCs w:val="22"/>
        </w:rPr>
        <w:t>10% FBS</w:t>
      </w:r>
      <w:r w:rsidRPr="00AC7662">
        <w:rPr>
          <w:rFonts w:ascii="Arial" w:hAnsi="Arial" w:cs="Arial"/>
          <w:color w:val="191919"/>
          <w:sz w:val="22"/>
          <w:szCs w:val="22"/>
        </w:rPr>
        <w:t xml:space="preserve"> in six-well plates and allowed to reach confluence, at which point mineralization media was added and cells were treated with 0.01, 0.03, 0.10, 0.30, 1.00</w:t>
      </w:r>
      <w:r w:rsidR="00345917">
        <w:rPr>
          <w:rFonts w:ascii="Arial" w:hAnsi="Arial" w:cs="Arial"/>
          <w:color w:val="191919"/>
          <w:sz w:val="22"/>
          <w:szCs w:val="22"/>
        </w:rPr>
        <w:t>,</w:t>
      </w:r>
      <w:r w:rsidRPr="00AC7662">
        <w:rPr>
          <w:rFonts w:ascii="Arial" w:hAnsi="Arial" w:cs="Arial"/>
          <w:color w:val="191919"/>
          <w:sz w:val="22"/>
          <w:szCs w:val="22"/>
        </w:rPr>
        <w:t xml:space="preserve"> or 3.00 </w:t>
      </w:r>
      <w:r w:rsidR="002F6BC9">
        <w:rPr>
          <w:rFonts w:ascii="Arial" w:hAnsi="Arial" w:cs="Arial"/>
          <w:color w:val="000000"/>
          <w:sz w:val="22"/>
          <w:szCs w:val="22"/>
        </w:rPr>
        <w:t>µ</w:t>
      </w:r>
      <w:r w:rsidRPr="00AC7662">
        <w:rPr>
          <w:rFonts w:ascii="Arial" w:hAnsi="Arial" w:cs="Arial"/>
          <w:color w:val="191919"/>
          <w:sz w:val="22"/>
          <w:szCs w:val="22"/>
        </w:rPr>
        <w:t>M cabozantinib. Cells were fixed with 10% formalin at day 11, stained with alizarin red</w:t>
      </w:r>
      <w:r w:rsidR="00345917">
        <w:rPr>
          <w:rFonts w:ascii="Arial" w:hAnsi="Arial" w:cs="Arial"/>
          <w:color w:val="191919"/>
          <w:sz w:val="22"/>
          <w:szCs w:val="22"/>
        </w:rPr>
        <w:t>,</w:t>
      </w:r>
      <w:r w:rsidRPr="00AC7662">
        <w:rPr>
          <w:rFonts w:ascii="Arial" w:hAnsi="Arial" w:cs="Arial"/>
          <w:color w:val="191919"/>
          <w:sz w:val="22"/>
          <w:szCs w:val="22"/>
        </w:rPr>
        <w:t xml:space="preserve"> and absorbance was measured at 450</w:t>
      </w:r>
      <w:r w:rsidR="00345917">
        <w:rPr>
          <w:rFonts w:ascii="Arial" w:hAnsi="Arial" w:cs="Arial"/>
          <w:color w:val="191919"/>
          <w:sz w:val="22"/>
          <w:szCs w:val="22"/>
        </w:rPr>
        <w:t xml:space="preserve"> </w:t>
      </w:r>
      <w:r w:rsidRPr="00AC7662">
        <w:rPr>
          <w:rFonts w:ascii="Arial" w:hAnsi="Arial" w:cs="Arial"/>
          <w:color w:val="191919"/>
          <w:sz w:val="22"/>
          <w:szCs w:val="22"/>
        </w:rPr>
        <w:t xml:space="preserve">nm. </w:t>
      </w:r>
    </w:p>
    <w:p w:rsidR="002E1793" w:rsidRPr="00AC7662" w:rsidRDefault="002E1793" w:rsidP="00235083">
      <w:pPr>
        <w:jc w:val="both"/>
        <w:rPr>
          <w:rFonts w:ascii="Arial" w:hAnsi="Arial" w:cs="Arial"/>
          <w:color w:val="191919"/>
          <w:sz w:val="22"/>
          <w:szCs w:val="22"/>
        </w:rPr>
      </w:pPr>
    </w:p>
    <w:p w:rsidR="002E1793" w:rsidRPr="00AC7662" w:rsidRDefault="002E1793" w:rsidP="00235083">
      <w:pPr>
        <w:jc w:val="both"/>
        <w:rPr>
          <w:rFonts w:ascii="Arial" w:hAnsi="Arial" w:cs="Arial"/>
          <w:i/>
          <w:color w:val="191919"/>
          <w:sz w:val="22"/>
          <w:szCs w:val="22"/>
          <w:u w:val="single"/>
        </w:rPr>
      </w:pPr>
      <w:r w:rsidRPr="00AC7662">
        <w:rPr>
          <w:rFonts w:ascii="Arial" w:hAnsi="Arial" w:cs="Arial"/>
          <w:i/>
          <w:color w:val="191919"/>
          <w:sz w:val="22"/>
          <w:szCs w:val="22"/>
          <w:u w:val="single"/>
        </w:rPr>
        <w:t>Alkaline Phosphatase Assay (ALP)</w:t>
      </w:r>
    </w:p>
    <w:p w:rsidR="00AC7662" w:rsidRDefault="002E1793" w:rsidP="00235083">
      <w:pPr>
        <w:jc w:val="both"/>
        <w:rPr>
          <w:rFonts w:ascii="Arial" w:hAnsi="Arial" w:cs="Arial"/>
          <w:color w:val="191919"/>
          <w:sz w:val="22"/>
          <w:szCs w:val="22"/>
        </w:rPr>
      </w:pPr>
      <w:r w:rsidRPr="00AC7662">
        <w:rPr>
          <w:rFonts w:ascii="Arial" w:hAnsi="Arial" w:cs="Arial"/>
          <w:color w:val="191919"/>
          <w:sz w:val="22"/>
          <w:szCs w:val="22"/>
        </w:rPr>
        <w:t>ALP activity was assessed using a colorimetric kit (</w:t>
      </w:r>
      <w:proofErr w:type="spellStart"/>
      <w:r w:rsidRPr="00AC7662">
        <w:rPr>
          <w:rFonts w:ascii="Arial" w:hAnsi="Arial" w:cs="Arial"/>
          <w:color w:val="191919"/>
          <w:sz w:val="22"/>
          <w:szCs w:val="22"/>
        </w:rPr>
        <w:t>AbCam</w:t>
      </w:r>
      <w:proofErr w:type="spellEnd"/>
      <w:r w:rsidRPr="00AC7662">
        <w:rPr>
          <w:rFonts w:ascii="Arial" w:hAnsi="Arial" w:cs="Arial"/>
          <w:color w:val="191919"/>
          <w:sz w:val="22"/>
          <w:szCs w:val="22"/>
        </w:rPr>
        <w:t>, ab83369, Cambridge, MA) according to manufacturer’s directions. MC3T3 cells were seeded (5000 cells/well) in a 24-well plate in MEM + 5% FBS overnight, followed by treatment with 0.01</w:t>
      </w:r>
      <w:r w:rsidR="000B0157">
        <w:rPr>
          <w:rFonts w:ascii="Arial" w:hAnsi="Arial" w:cs="Arial"/>
          <w:color w:val="191919"/>
          <w:sz w:val="22"/>
          <w:szCs w:val="22"/>
        </w:rPr>
        <w:t>–</w:t>
      </w:r>
      <w:r w:rsidRPr="00AC7662">
        <w:rPr>
          <w:rFonts w:ascii="Arial" w:hAnsi="Arial" w:cs="Arial"/>
          <w:color w:val="191919"/>
          <w:sz w:val="22"/>
          <w:szCs w:val="22"/>
        </w:rPr>
        <w:t xml:space="preserve">3.00 </w:t>
      </w:r>
      <w:r w:rsidR="002F6BC9">
        <w:rPr>
          <w:rFonts w:ascii="Arial" w:hAnsi="Arial" w:cs="Arial"/>
          <w:color w:val="000000"/>
          <w:sz w:val="22"/>
          <w:szCs w:val="22"/>
        </w:rPr>
        <w:t>µ</w:t>
      </w:r>
      <w:r w:rsidRPr="00AC7662">
        <w:rPr>
          <w:rFonts w:ascii="Arial" w:hAnsi="Arial" w:cs="Arial"/>
          <w:color w:val="191919"/>
          <w:sz w:val="22"/>
          <w:szCs w:val="22"/>
        </w:rPr>
        <w:t>M cabozantinib. ALP activity was assayed at day 2, 4 and 7 and normalized by whole-cell lysate protein concentration.</w:t>
      </w:r>
    </w:p>
    <w:p w:rsidR="002E1793" w:rsidRPr="00AC7662" w:rsidRDefault="002E1793" w:rsidP="00235083">
      <w:pPr>
        <w:jc w:val="both"/>
        <w:rPr>
          <w:rFonts w:ascii="Arial" w:hAnsi="Arial" w:cs="Arial"/>
          <w:color w:val="191919"/>
          <w:sz w:val="22"/>
          <w:szCs w:val="22"/>
        </w:rPr>
      </w:pPr>
    </w:p>
    <w:p w:rsidR="002E1793" w:rsidRPr="00AC7662" w:rsidRDefault="002E1793" w:rsidP="00235083">
      <w:pPr>
        <w:jc w:val="both"/>
        <w:rPr>
          <w:rFonts w:ascii="Arial" w:hAnsi="Arial" w:cs="Arial"/>
          <w:i/>
          <w:color w:val="191919"/>
          <w:sz w:val="22"/>
          <w:szCs w:val="22"/>
          <w:u w:val="single"/>
        </w:rPr>
      </w:pPr>
      <w:r w:rsidRPr="00AC7662">
        <w:rPr>
          <w:rFonts w:ascii="Arial" w:hAnsi="Arial" w:cs="Arial"/>
          <w:i/>
          <w:color w:val="191919"/>
          <w:sz w:val="22"/>
          <w:szCs w:val="22"/>
          <w:u w:val="single"/>
        </w:rPr>
        <w:t>ARE reporter Assay</w:t>
      </w:r>
    </w:p>
    <w:p w:rsidR="002E1793" w:rsidRDefault="002E1793" w:rsidP="00235083">
      <w:pPr>
        <w:jc w:val="both"/>
        <w:rPr>
          <w:rFonts w:ascii="Arial" w:hAnsi="Arial" w:cs="Arial"/>
          <w:sz w:val="22"/>
          <w:szCs w:val="22"/>
        </w:rPr>
      </w:pPr>
      <w:r w:rsidRPr="00AC7662">
        <w:rPr>
          <w:rFonts w:ascii="Arial" w:hAnsi="Arial" w:cs="Arial"/>
          <w:sz w:val="22"/>
          <w:szCs w:val="22"/>
        </w:rPr>
        <w:t xml:space="preserve">C4-2B cells were </w:t>
      </w:r>
      <w:proofErr w:type="spellStart"/>
      <w:r w:rsidRPr="00AC7662">
        <w:rPr>
          <w:rFonts w:ascii="Arial" w:hAnsi="Arial" w:cs="Arial"/>
          <w:sz w:val="22"/>
          <w:szCs w:val="22"/>
        </w:rPr>
        <w:t>transfected</w:t>
      </w:r>
      <w:proofErr w:type="spellEnd"/>
      <w:r w:rsidRPr="00AC7662">
        <w:rPr>
          <w:rFonts w:ascii="Arial" w:hAnsi="Arial" w:cs="Arial"/>
          <w:sz w:val="22"/>
          <w:szCs w:val="22"/>
        </w:rPr>
        <w:t xml:space="preserve"> using the </w:t>
      </w:r>
      <w:proofErr w:type="spellStart"/>
      <w:r w:rsidRPr="00AC7662">
        <w:rPr>
          <w:rFonts w:ascii="Arial" w:hAnsi="Arial" w:cs="Arial"/>
          <w:sz w:val="22"/>
          <w:szCs w:val="22"/>
        </w:rPr>
        <w:t>Amaxa</w:t>
      </w:r>
      <w:proofErr w:type="spellEnd"/>
      <w:r w:rsidRPr="00AC7662">
        <w:rPr>
          <w:rFonts w:ascii="Arial" w:hAnsi="Arial" w:cs="Arial"/>
          <w:sz w:val="22"/>
          <w:szCs w:val="22"/>
        </w:rPr>
        <w:t xml:space="preserve"> </w:t>
      </w:r>
      <w:proofErr w:type="spellStart"/>
      <w:r w:rsidRPr="00AC7662">
        <w:rPr>
          <w:rFonts w:ascii="Arial" w:hAnsi="Arial" w:cs="Arial"/>
          <w:sz w:val="22"/>
          <w:szCs w:val="22"/>
        </w:rPr>
        <w:t>Nucleofector</w:t>
      </w:r>
      <w:proofErr w:type="spellEnd"/>
      <w:r w:rsidRPr="00AC7662">
        <w:rPr>
          <w:rFonts w:ascii="Arial" w:hAnsi="Arial" w:cs="Arial"/>
          <w:sz w:val="22"/>
          <w:szCs w:val="22"/>
        </w:rPr>
        <w:t xml:space="preserve"> with solution V and program T-27 according to the manufacturer's recommendations (</w:t>
      </w:r>
      <w:proofErr w:type="spellStart"/>
      <w:r w:rsidRPr="00AC7662">
        <w:rPr>
          <w:rFonts w:ascii="Arial" w:hAnsi="Arial" w:cs="Arial"/>
          <w:sz w:val="22"/>
          <w:szCs w:val="22"/>
        </w:rPr>
        <w:t>Amaxa</w:t>
      </w:r>
      <w:proofErr w:type="spellEnd"/>
      <w:r w:rsidRPr="00AC7662">
        <w:rPr>
          <w:rFonts w:ascii="Arial" w:hAnsi="Arial" w:cs="Arial"/>
          <w:sz w:val="22"/>
          <w:szCs w:val="22"/>
        </w:rPr>
        <w:t xml:space="preserve"> </w:t>
      </w:r>
      <w:proofErr w:type="spellStart"/>
      <w:r w:rsidRPr="00AC7662">
        <w:rPr>
          <w:rFonts w:ascii="Arial" w:hAnsi="Arial" w:cs="Arial"/>
          <w:sz w:val="22"/>
          <w:szCs w:val="22"/>
        </w:rPr>
        <w:t>Biosystems</w:t>
      </w:r>
      <w:proofErr w:type="spellEnd"/>
      <w:r w:rsidRPr="00AC7662">
        <w:rPr>
          <w:rFonts w:ascii="Arial" w:hAnsi="Arial" w:cs="Arial"/>
          <w:sz w:val="22"/>
          <w:szCs w:val="22"/>
        </w:rPr>
        <w:t xml:space="preserve">, Inc., Gaithersburg, MD) with an ARE reporter and a TK </w:t>
      </w:r>
      <w:proofErr w:type="spellStart"/>
      <w:r w:rsidRPr="00AC7662">
        <w:rPr>
          <w:rFonts w:ascii="Arial" w:hAnsi="Arial" w:cs="Arial"/>
          <w:sz w:val="22"/>
          <w:szCs w:val="22"/>
        </w:rPr>
        <w:t>renilla</w:t>
      </w:r>
      <w:proofErr w:type="spellEnd"/>
      <w:r w:rsidRPr="00AC7662">
        <w:rPr>
          <w:rFonts w:ascii="Arial" w:hAnsi="Arial" w:cs="Arial"/>
          <w:sz w:val="22"/>
          <w:szCs w:val="22"/>
        </w:rPr>
        <w:t xml:space="preserve"> </w:t>
      </w:r>
      <w:proofErr w:type="spellStart"/>
      <w:r w:rsidRPr="00AC7662">
        <w:rPr>
          <w:rFonts w:ascii="Arial" w:hAnsi="Arial" w:cs="Arial"/>
          <w:sz w:val="22"/>
          <w:szCs w:val="22"/>
        </w:rPr>
        <w:t>luciferase</w:t>
      </w:r>
      <w:proofErr w:type="spellEnd"/>
      <w:r w:rsidRPr="00AC7662">
        <w:rPr>
          <w:rFonts w:ascii="Arial" w:hAnsi="Arial" w:cs="Arial"/>
          <w:sz w:val="22"/>
          <w:szCs w:val="22"/>
        </w:rPr>
        <w:t xml:space="preserve"> plasmid and after 48 hrs, a dual-</w:t>
      </w:r>
      <w:proofErr w:type="spellStart"/>
      <w:r w:rsidRPr="00AC7662">
        <w:rPr>
          <w:rFonts w:ascii="Arial" w:hAnsi="Arial" w:cs="Arial"/>
          <w:sz w:val="22"/>
          <w:szCs w:val="22"/>
        </w:rPr>
        <w:t>luciferase</w:t>
      </w:r>
      <w:proofErr w:type="spellEnd"/>
      <w:r w:rsidRPr="00AC7662">
        <w:rPr>
          <w:rFonts w:ascii="Arial" w:hAnsi="Arial" w:cs="Arial"/>
          <w:sz w:val="22"/>
          <w:szCs w:val="22"/>
        </w:rPr>
        <w:t xml:space="preserve"> assay was used as described previously </w:t>
      </w:r>
      <w:r w:rsidR="00784174">
        <w:rPr>
          <w:rFonts w:ascii="Arial" w:hAnsi="Arial" w:cs="Arial"/>
          <w:sz w:val="22"/>
          <w:szCs w:val="22"/>
        </w:rPr>
        <w:fldChar w:fldCharType="begin">
          <w:fldData xml:space="preserve">PEVuZE5vdGU+PENpdGU+PEF1dGhvcj5Nb3JyaXNzZXk8L0F1dGhvcj48WWVhcj4yMDEwPC9ZZWFy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</w:fldData>
        </w:fldChar>
      </w:r>
      <w:r w:rsidR="000630B2">
        <w:rPr>
          <w:rFonts w:ascii="Arial" w:hAnsi="Arial" w:cs="Arial"/>
          <w:sz w:val="22"/>
          <w:szCs w:val="22"/>
        </w:rPr>
        <w:instrText xml:space="preserve"> ADDIN EN.CITE </w:instrText>
      </w:r>
      <w:r w:rsidR="00784174">
        <w:rPr>
          <w:rFonts w:ascii="Arial" w:hAnsi="Arial" w:cs="Arial"/>
          <w:sz w:val="22"/>
          <w:szCs w:val="22"/>
        </w:rPr>
        <w:fldChar w:fldCharType="begin">
          <w:fldData xml:space="preserve">PEVuZE5vdGU+PENpdGU+PEF1dGhvcj5Nb3JyaXNzZXk8L0F1dGhvcj48WWVhcj4yMDEwPC9ZZWFy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</w:fldData>
        </w:fldChar>
      </w:r>
      <w:r w:rsidR="000630B2">
        <w:rPr>
          <w:rFonts w:ascii="Arial" w:hAnsi="Arial" w:cs="Arial"/>
          <w:sz w:val="22"/>
          <w:szCs w:val="22"/>
        </w:rPr>
        <w:instrText xml:space="preserve"> ADDIN EN.CITE.DATA </w:instrText>
      </w:r>
      <w:r w:rsidR="00784174">
        <w:rPr>
          <w:rFonts w:ascii="Arial" w:hAnsi="Arial" w:cs="Arial"/>
          <w:sz w:val="22"/>
          <w:szCs w:val="22"/>
        </w:rPr>
      </w:r>
      <w:r w:rsidR="00784174">
        <w:rPr>
          <w:rFonts w:ascii="Arial" w:hAnsi="Arial" w:cs="Arial"/>
          <w:sz w:val="22"/>
          <w:szCs w:val="22"/>
        </w:rPr>
        <w:fldChar w:fldCharType="end"/>
      </w:r>
      <w:r w:rsidR="00784174">
        <w:rPr>
          <w:rFonts w:ascii="Arial" w:hAnsi="Arial" w:cs="Arial"/>
          <w:sz w:val="22"/>
          <w:szCs w:val="22"/>
        </w:rPr>
      </w:r>
      <w:r w:rsidR="00784174">
        <w:rPr>
          <w:rFonts w:ascii="Arial" w:hAnsi="Arial" w:cs="Arial"/>
          <w:sz w:val="22"/>
          <w:szCs w:val="22"/>
        </w:rPr>
        <w:fldChar w:fldCharType="separate"/>
      </w:r>
      <w:r w:rsidR="000630B2">
        <w:rPr>
          <w:rFonts w:ascii="Arial" w:hAnsi="Arial" w:cs="Arial"/>
          <w:noProof/>
          <w:sz w:val="22"/>
          <w:szCs w:val="22"/>
        </w:rPr>
        <w:t>[</w:t>
      </w:r>
      <w:hyperlink w:anchor="_ENREF_1" w:tooltip="Morrissey, 2010 #61" w:history="1">
        <w:r w:rsidR="000630B2">
          <w:rPr>
            <w:rFonts w:ascii="Arial" w:hAnsi="Arial" w:cs="Arial"/>
            <w:noProof/>
            <w:sz w:val="22"/>
            <w:szCs w:val="22"/>
          </w:rPr>
          <w:t>1</w:t>
        </w:r>
      </w:hyperlink>
      <w:r w:rsidR="000630B2">
        <w:rPr>
          <w:rFonts w:ascii="Arial" w:hAnsi="Arial" w:cs="Arial"/>
          <w:noProof/>
          <w:sz w:val="22"/>
          <w:szCs w:val="22"/>
        </w:rPr>
        <w:t>]</w:t>
      </w:r>
      <w:r w:rsidR="00784174">
        <w:rPr>
          <w:rFonts w:ascii="Arial" w:hAnsi="Arial" w:cs="Arial"/>
          <w:sz w:val="22"/>
          <w:szCs w:val="22"/>
        </w:rPr>
        <w:fldChar w:fldCharType="end"/>
      </w:r>
      <w:r w:rsidRPr="00AC7662">
        <w:rPr>
          <w:rFonts w:ascii="Arial" w:hAnsi="Arial" w:cs="Arial"/>
          <w:sz w:val="22"/>
          <w:szCs w:val="22"/>
        </w:rPr>
        <w:t>.</w:t>
      </w:r>
    </w:p>
    <w:p w:rsidR="002E1793" w:rsidRDefault="002E1793" w:rsidP="00235083">
      <w:pPr>
        <w:jc w:val="both"/>
        <w:rPr>
          <w:rFonts w:ascii="Arial" w:hAnsi="Arial" w:cs="Arial"/>
          <w:sz w:val="22"/>
          <w:szCs w:val="22"/>
        </w:rPr>
      </w:pPr>
    </w:p>
    <w:p w:rsidR="002E1793" w:rsidRPr="00AC7662" w:rsidRDefault="00AC7662" w:rsidP="00235083">
      <w:pPr>
        <w:jc w:val="both"/>
        <w:rPr>
          <w:rFonts w:ascii="Arial" w:hAnsi="Arial" w:cs="Arial"/>
          <w:i/>
          <w:sz w:val="22"/>
          <w:szCs w:val="22"/>
          <w:u w:val="single"/>
        </w:rPr>
      </w:pPr>
      <w:r w:rsidRPr="00AC7662">
        <w:rPr>
          <w:rFonts w:ascii="Arial" w:hAnsi="Arial" w:cs="Arial"/>
          <w:i/>
          <w:sz w:val="22"/>
          <w:szCs w:val="22"/>
          <w:u w:val="single"/>
        </w:rPr>
        <w:t xml:space="preserve">Statistical Analysis </w:t>
      </w:r>
      <w:r w:rsidR="007831B8">
        <w:rPr>
          <w:rFonts w:ascii="Arial" w:hAnsi="Arial" w:cs="Arial"/>
          <w:i/>
          <w:sz w:val="22"/>
          <w:szCs w:val="22"/>
          <w:u w:val="single"/>
        </w:rPr>
        <w:t>of IHC</w:t>
      </w:r>
    </w:p>
    <w:p w:rsidR="00103EA8" w:rsidRPr="00103EA8" w:rsidRDefault="00103EA8" w:rsidP="00235083">
      <w:pPr>
        <w:jc w:val="both"/>
        <w:rPr>
          <w:rFonts w:ascii="Arial" w:hAnsi="Arial" w:cs="Arial"/>
          <w:sz w:val="22"/>
          <w:szCs w:val="22"/>
        </w:rPr>
      </w:pPr>
      <w:r w:rsidRPr="00103EA8">
        <w:rPr>
          <w:rFonts w:ascii="Arial" w:hAnsi="Arial" w:cs="Arial"/>
          <w:sz w:val="22"/>
          <w:szCs w:val="22"/>
        </w:rPr>
        <w:t xml:space="preserve">For each core in each TMA, a staining index </w:t>
      </w:r>
      <w:proofErr w:type="gramStart"/>
      <w:r w:rsidRPr="00103EA8">
        <w:rPr>
          <w:rFonts w:ascii="Arial" w:hAnsi="Arial" w:cs="Arial"/>
          <w:sz w:val="22"/>
          <w:szCs w:val="22"/>
        </w:rPr>
        <w:t>was constructed</w:t>
      </w:r>
      <w:proofErr w:type="gramEnd"/>
      <w:r w:rsidRPr="00103EA8">
        <w:rPr>
          <w:rFonts w:ascii="Arial" w:hAnsi="Arial" w:cs="Arial"/>
          <w:sz w:val="22"/>
          <w:szCs w:val="22"/>
        </w:rPr>
        <w:t xml:space="preserve"> as a weighted combination of the 3-point staining intensities, with weights given by the percentage of tissue staining at each intensity. Linear mixed models were fit to the staining index conditional on metastasis location with random effects for each patient or animal. Following evaluation of modeling assumptions and data transformation as necessary, the fitted models were used to quantify differences in immunoreactivity between metastatic locations and to test statistical significance. </w:t>
      </w:r>
    </w:p>
    <w:p w:rsidR="00103EA8" w:rsidRDefault="00103EA8" w:rsidP="00235083">
      <w:pPr>
        <w:jc w:val="both"/>
        <w:rPr>
          <w:rFonts w:ascii="Arial" w:hAnsi="Arial"/>
          <w:sz w:val="22"/>
        </w:rPr>
      </w:pPr>
    </w:p>
    <w:p w:rsidR="007831B8" w:rsidRDefault="00235083" w:rsidP="00235083">
      <w:pPr>
        <w:jc w:val="both"/>
        <w:rPr>
          <w:rFonts w:ascii="Arial" w:hAnsi="Arial"/>
          <w:sz w:val="22"/>
        </w:rPr>
      </w:pPr>
      <w:r w:rsidRPr="00934858">
        <w:rPr>
          <w:rFonts w:ascii="Arial" w:hAnsi="Arial"/>
          <w:sz w:val="22"/>
        </w:rPr>
        <w:t>The staining index was calculated as follows</w:t>
      </w:r>
      <w:r>
        <w:rPr>
          <w:rFonts w:ascii="Arial" w:hAnsi="Arial"/>
          <w:sz w:val="22"/>
        </w:rPr>
        <w:t>:</w:t>
      </w:r>
    </w:p>
    <w:p w:rsidR="00235083" w:rsidRDefault="002F6BC9" w:rsidP="007831B8">
      <w:pPr>
        <w:jc w:val="both"/>
        <w:rPr>
          <w:rFonts w:ascii="Arial" w:hAnsi="Arial"/>
          <w:sz w:val="22"/>
        </w:rPr>
      </w:pPr>
      <w:r w:rsidRPr="002F6BC9">
        <w:rPr>
          <w:rFonts w:ascii="Arial" w:hAnsi="Arial"/>
          <w:position w:val="-24"/>
          <w:sz w:val="22"/>
        </w:rPr>
        <w:object w:dxaOrig="41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07pt;height:31pt" o:ole="">
            <v:imagedata r:id="rId4" o:title=""/>
          </v:shape>
          <o:OLEObject Type="Embed" ProgID="Equation.3" ShapeID="_x0000_i1039" DrawAspect="Content" ObjectID="_1442226470" r:id="rId5"/>
        </w:object>
      </w:r>
      <w:r w:rsidR="007831B8">
        <w:rPr>
          <w:rFonts w:ascii="Arial" w:hAnsi="Arial"/>
          <w:sz w:val="22"/>
        </w:rPr>
        <w:t xml:space="preserve"> </w:t>
      </w:r>
      <w:r w:rsidR="007831B8">
        <w:rPr>
          <w:rFonts w:ascii="Arial" w:hAnsi="Arial"/>
          <w:sz w:val="22"/>
        </w:rPr>
        <w:tab/>
      </w:r>
      <w:r w:rsidR="007831B8">
        <w:rPr>
          <w:rFonts w:ascii="Arial" w:hAnsi="Arial"/>
          <w:sz w:val="22"/>
        </w:rPr>
        <w:tab/>
      </w:r>
      <w:r w:rsidR="007831B8">
        <w:rPr>
          <w:rFonts w:ascii="Arial" w:hAnsi="Arial"/>
          <w:sz w:val="22"/>
        </w:rPr>
        <w:tab/>
      </w:r>
      <w:r w:rsidR="007831B8">
        <w:rPr>
          <w:rFonts w:ascii="Arial" w:hAnsi="Arial"/>
          <w:sz w:val="22"/>
        </w:rPr>
        <w:tab/>
      </w:r>
      <w:r w:rsidR="007831B8">
        <w:rPr>
          <w:rFonts w:ascii="Arial" w:hAnsi="Arial"/>
          <w:sz w:val="22"/>
        </w:rPr>
        <w:tab/>
      </w:r>
      <w:r w:rsidR="007831B8">
        <w:rPr>
          <w:rFonts w:ascii="Arial" w:hAnsi="Arial"/>
          <w:sz w:val="22"/>
        </w:rPr>
        <w:tab/>
      </w:r>
      <w:proofErr w:type="gramStart"/>
      <w:r w:rsidR="00235083" w:rsidRPr="00934858">
        <w:rPr>
          <w:rFonts w:ascii="Arial" w:hAnsi="Arial"/>
          <w:sz w:val="22"/>
        </w:rPr>
        <w:t>(1).</w:t>
      </w:r>
      <w:proofErr w:type="gramEnd"/>
    </w:p>
    <w:p w:rsidR="007831B8" w:rsidRDefault="00235083" w:rsidP="00235083">
      <w:pPr>
        <w:jc w:val="both"/>
        <w:rPr>
          <w:rFonts w:ascii="Arial" w:hAnsi="Arial"/>
          <w:sz w:val="22"/>
        </w:rPr>
      </w:pPr>
      <w:r w:rsidRPr="00934858">
        <w:rPr>
          <w:rFonts w:ascii="Arial" w:hAnsi="Arial"/>
          <w:sz w:val="22"/>
        </w:rPr>
        <w:t xml:space="preserve">The mean staining </w:t>
      </w:r>
      <w:r w:rsidR="00107C9A" w:rsidRPr="00934858">
        <w:rPr>
          <w:rFonts w:ascii="Arial" w:hAnsi="Arial"/>
          <w:sz w:val="22"/>
        </w:rPr>
        <w:t>ind</w:t>
      </w:r>
      <w:r w:rsidR="00107C9A">
        <w:rPr>
          <w:rFonts w:ascii="Arial" w:hAnsi="Arial"/>
          <w:sz w:val="22"/>
        </w:rPr>
        <w:t>ic</w:t>
      </w:r>
      <w:r w:rsidR="00107C9A" w:rsidRPr="00934858">
        <w:rPr>
          <w:rFonts w:ascii="Arial" w:hAnsi="Arial"/>
          <w:sz w:val="22"/>
        </w:rPr>
        <w:t xml:space="preserve">es </w:t>
      </w:r>
      <w:r w:rsidRPr="00934858">
        <w:rPr>
          <w:rFonts w:ascii="Arial" w:hAnsi="Arial"/>
          <w:sz w:val="22"/>
        </w:rPr>
        <w:t>between tissues types were compared using a linear mixed model:</w:t>
      </w:r>
    </w:p>
    <w:p w:rsidR="00235083" w:rsidRDefault="002F6BC9" w:rsidP="007831B8">
      <w:pPr>
        <w:jc w:val="both"/>
        <w:rPr>
          <w:rFonts w:ascii="Arial" w:hAnsi="Arial"/>
          <w:sz w:val="22"/>
        </w:rPr>
      </w:pPr>
      <w:r w:rsidRPr="002F6BC9">
        <w:rPr>
          <w:rFonts w:ascii="Arial" w:hAnsi="Arial"/>
          <w:position w:val="-30"/>
          <w:sz w:val="22"/>
        </w:rPr>
        <w:object w:dxaOrig="3440" w:dyaOrig="720">
          <v:shape id="_x0000_i1034" type="#_x0000_t75" style="width:172pt;height:36.5pt" o:ole="">
            <v:imagedata r:id="rId6" o:title=""/>
          </v:shape>
          <o:OLEObject Type="Embed" ProgID="Equation.3" ShapeID="_x0000_i1034" DrawAspect="Content" ObjectID="_1442226471" r:id="rId7"/>
        </w:object>
      </w:r>
      <w:r w:rsidR="007831B8">
        <w:rPr>
          <w:rFonts w:ascii="Arial" w:hAnsi="Arial"/>
          <w:sz w:val="22"/>
        </w:rPr>
        <w:tab/>
      </w:r>
      <w:r w:rsidR="007831B8">
        <w:rPr>
          <w:rFonts w:ascii="Arial" w:hAnsi="Arial"/>
          <w:sz w:val="22"/>
        </w:rPr>
        <w:tab/>
      </w:r>
      <w:r w:rsidR="007831B8">
        <w:rPr>
          <w:rFonts w:ascii="Arial" w:hAnsi="Arial"/>
          <w:sz w:val="22"/>
        </w:rPr>
        <w:tab/>
      </w:r>
      <w:r w:rsidR="007831B8">
        <w:rPr>
          <w:rFonts w:ascii="Arial" w:hAnsi="Arial"/>
          <w:sz w:val="22"/>
        </w:rPr>
        <w:tab/>
      </w:r>
      <w:r w:rsidR="007831B8">
        <w:rPr>
          <w:rFonts w:ascii="Arial" w:hAnsi="Arial"/>
          <w:sz w:val="22"/>
        </w:rPr>
        <w:tab/>
      </w:r>
      <w:r w:rsidR="007831B8">
        <w:rPr>
          <w:rFonts w:ascii="Arial" w:hAnsi="Arial"/>
          <w:sz w:val="22"/>
        </w:rPr>
        <w:tab/>
      </w:r>
      <w:r w:rsidR="007831B8">
        <w:rPr>
          <w:rFonts w:ascii="Arial" w:hAnsi="Arial"/>
          <w:sz w:val="22"/>
        </w:rPr>
        <w:tab/>
      </w:r>
      <w:r w:rsidR="00235083" w:rsidRPr="00934858">
        <w:rPr>
          <w:rFonts w:ascii="Arial" w:hAnsi="Arial"/>
          <w:sz w:val="22"/>
        </w:rPr>
        <w:t>(2),</w:t>
      </w:r>
    </w:p>
    <w:p w:rsidR="00107C9A" w:rsidRDefault="00235083" w:rsidP="00235083">
      <w:pPr>
        <w:jc w:val="both"/>
        <w:rPr>
          <w:rFonts w:ascii="Arial" w:hAnsi="Arial"/>
          <w:sz w:val="22"/>
        </w:rPr>
      </w:pPr>
      <w:r w:rsidRPr="00934858">
        <w:rPr>
          <w:rFonts w:ascii="Arial" w:hAnsi="Arial"/>
          <w:sz w:val="22"/>
        </w:rPr>
        <w:lastRenderedPageBreak/>
        <w:t xml:space="preserve">where </w:t>
      </w:r>
      <w:proofErr w:type="spellStart"/>
      <w:r w:rsidRPr="00934858">
        <w:rPr>
          <w:rFonts w:ascii="Arial" w:hAnsi="Arial"/>
          <w:i/>
          <w:sz w:val="22"/>
        </w:rPr>
        <w:t>i</w:t>
      </w:r>
      <w:proofErr w:type="spellEnd"/>
      <w:r w:rsidRPr="00934858">
        <w:rPr>
          <w:rFonts w:ascii="Arial" w:hAnsi="Arial"/>
          <w:sz w:val="22"/>
        </w:rPr>
        <w:t xml:space="preserve"> indexes patients, </w:t>
      </w:r>
      <w:r w:rsidRPr="00934858">
        <w:rPr>
          <w:rFonts w:ascii="Arial" w:hAnsi="Arial"/>
          <w:i/>
          <w:sz w:val="22"/>
        </w:rPr>
        <w:t>j</w:t>
      </w:r>
      <w:r w:rsidRPr="00934858">
        <w:rPr>
          <w:rFonts w:ascii="Arial" w:hAnsi="Arial"/>
          <w:sz w:val="22"/>
        </w:rPr>
        <w:t xml:space="preserve"> indexes cores within patients, </w:t>
      </w:r>
      <w:r w:rsidRPr="00934858">
        <w:rPr>
          <w:rFonts w:ascii="Arial" w:hAnsi="Arial"/>
          <w:i/>
          <w:sz w:val="22"/>
        </w:rPr>
        <w:t>Tissue</w:t>
      </w:r>
      <w:r w:rsidRPr="00934858">
        <w:rPr>
          <w:rFonts w:ascii="Arial" w:hAnsi="Arial"/>
          <w:sz w:val="22"/>
        </w:rPr>
        <w:t xml:space="preserve"> indicates the metastasis location (0=tissue A and 1=tissue B), </w:t>
      </w:r>
      <w:r w:rsidRPr="00934858">
        <w:rPr>
          <w:rFonts w:ascii="Arial" w:hAnsi="Arial"/>
          <w:i/>
          <w:sz w:val="22"/>
        </w:rPr>
        <w:t>b</w:t>
      </w:r>
      <w:r w:rsidRPr="00934858">
        <w:rPr>
          <w:rFonts w:ascii="Arial" w:hAnsi="Arial"/>
          <w:i/>
          <w:sz w:val="22"/>
          <w:vertAlign w:val="subscript"/>
        </w:rPr>
        <w:t>i</w:t>
      </w:r>
      <w:r w:rsidRPr="00934858">
        <w:rPr>
          <w:rFonts w:ascii="Arial" w:hAnsi="Arial"/>
          <w:sz w:val="22"/>
        </w:rPr>
        <w:t xml:space="preserve"> is an independently normally distributed patient-specific random effect with mean 0 and variance </w:t>
      </w:r>
      <w:r>
        <w:rPr>
          <w:rFonts w:ascii="Arial" w:hAnsi="Arial"/>
          <w:noProof/>
          <w:position w:val="-8"/>
          <w:sz w:val="22"/>
        </w:rPr>
        <w:drawing>
          <wp:inline distT="0" distB="0" distL="0" distR="0">
            <wp:extent cx="162560" cy="2032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62560" cy="203200"/>
                    </a:xfrm>
                    <a:prstGeom prst="rect">
                      <a:avLst/>
                    </a:prstGeom>
                    <a:noFill/>
                    <a:ln w="9525">
                      <a:noFill/>
                      <a:miter lim="800000"/>
                      <a:headEnd/>
                      <a:tailEnd/>
                    </a:ln>
                  </pic:spPr>
                </pic:pic>
              </a:graphicData>
            </a:graphic>
          </wp:inline>
        </w:drawing>
      </w:r>
      <w:r w:rsidRPr="00934858">
        <w:rPr>
          <w:rFonts w:ascii="Arial" w:hAnsi="Arial"/>
          <w:sz w:val="22"/>
        </w:rPr>
        <w:t xml:space="preserve"> and </w:t>
      </w:r>
      <w:r w:rsidRPr="002F6BC9">
        <w:rPr>
          <w:rFonts w:ascii="Times New Roman" w:hAnsi="Times New Roman" w:cs="Times New Roman"/>
          <w:i/>
          <w:sz w:val="22"/>
        </w:rPr>
        <w:sym w:font="Symbol" w:char="F065"/>
      </w:r>
      <w:proofErr w:type="spellStart"/>
      <w:r w:rsidRPr="00934858">
        <w:rPr>
          <w:rFonts w:ascii="Arial" w:hAnsi="Arial"/>
          <w:i/>
          <w:sz w:val="22"/>
          <w:vertAlign w:val="subscript"/>
        </w:rPr>
        <w:t>ij</w:t>
      </w:r>
      <w:proofErr w:type="spellEnd"/>
      <w:r w:rsidRPr="00934858">
        <w:rPr>
          <w:rFonts w:ascii="Arial" w:hAnsi="Arial"/>
          <w:sz w:val="22"/>
        </w:rPr>
        <w:t xml:space="preserve"> is an independently normally</w:t>
      </w:r>
      <w:r w:rsidR="00BB3137">
        <w:rPr>
          <w:rFonts w:ascii="Arial" w:hAnsi="Arial"/>
          <w:sz w:val="22"/>
        </w:rPr>
        <w:t xml:space="preserve"> </w:t>
      </w:r>
      <w:r w:rsidRPr="00934858">
        <w:rPr>
          <w:rFonts w:ascii="Arial" w:hAnsi="Arial"/>
          <w:sz w:val="22"/>
        </w:rPr>
        <w:t xml:space="preserve">distributed error term with mean 0 and variance </w:t>
      </w:r>
      <w:r>
        <w:rPr>
          <w:rFonts w:ascii="Arial" w:hAnsi="Arial"/>
          <w:noProof/>
          <w:position w:val="-8"/>
          <w:sz w:val="22"/>
        </w:rPr>
        <w:drawing>
          <wp:inline distT="0" distB="0" distL="0" distR="0">
            <wp:extent cx="162560" cy="203200"/>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2560" cy="203200"/>
                    </a:xfrm>
                    <a:prstGeom prst="rect">
                      <a:avLst/>
                    </a:prstGeom>
                    <a:noFill/>
                    <a:ln w="9525">
                      <a:noFill/>
                      <a:miter lim="800000"/>
                      <a:headEnd/>
                      <a:tailEnd/>
                    </a:ln>
                  </pic:spPr>
                </pic:pic>
              </a:graphicData>
            </a:graphic>
          </wp:inline>
        </w:drawing>
      </w:r>
      <w:r w:rsidRPr="00934858">
        <w:rPr>
          <w:rFonts w:ascii="Arial" w:hAnsi="Arial"/>
          <w:sz w:val="22"/>
        </w:rPr>
        <w:t>.</w:t>
      </w:r>
      <w:r w:rsidR="00107C9A">
        <w:rPr>
          <w:rFonts w:ascii="Arial" w:hAnsi="Arial"/>
          <w:sz w:val="22"/>
        </w:rPr>
        <w:t xml:space="preserve"> </w:t>
      </w:r>
      <w:proofErr w:type="gramStart"/>
      <w:r w:rsidR="002F6BC9">
        <w:rPr>
          <w:rFonts w:ascii="Times New Roman" w:hAnsi="Times New Roman" w:cs="Times New Roman"/>
          <w:sz w:val="22"/>
        </w:rPr>
        <w:t>β</w:t>
      </w:r>
      <w:r w:rsidRPr="00934858">
        <w:rPr>
          <w:rFonts w:ascii="Arial" w:hAnsi="Arial"/>
          <w:i/>
          <w:sz w:val="22"/>
          <w:vertAlign w:val="subscript"/>
        </w:rPr>
        <w:t>0</w:t>
      </w:r>
      <w:proofErr w:type="gramEnd"/>
      <w:r w:rsidRPr="00934858">
        <w:rPr>
          <w:rFonts w:ascii="Arial" w:hAnsi="Arial"/>
          <w:sz w:val="22"/>
        </w:rPr>
        <w:t xml:space="preserve"> is the mean staining index in tissue A, and </w:t>
      </w:r>
      <w:r w:rsidR="002F6BC9" w:rsidRPr="002F6BC9">
        <w:rPr>
          <w:rFonts w:ascii="Times New Roman" w:hAnsi="Times New Roman" w:cs="Times New Roman"/>
          <w:i/>
          <w:sz w:val="22"/>
        </w:rPr>
        <w:t>β</w:t>
      </w:r>
      <w:r w:rsidRPr="00934858">
        <w:rPr>
          <w:rFonts w:ascii="Arial" w:hAnsi="Arial"/>
          <w:i/>
          <w:sz w:val="22"/>
          <w:vertAlign w:val="subscript"/>
        </w:rPr>
        <w:t>0</w:t>
      </w:r>
      <w:r w:rsidRPr="00934858">
        <w:rPr>
          <w:rFonts w:ascii="Arial" w:hAnsi="Arial"/>
          <w:i/>
          <w:sz w:val="22"/>
        </w:rPr>
        <w:t>+</w:t>
      </w:r>
      <w:r w:rsidR="002F6BC9" w:rsidRPr="002F6BC9">
        <w:rPr>
          <w:rFonts w:ascii="Times New Roman" w:hAnsi="Times New Roman" w:cs="Times New Roman"/>
          <w:sz w:val="22"/>
        </w:rPr>
        <w:t xml:space="preserve"> </w:t>
      </w:r>
      <w:r w:rsidR="002F6BC9" w:rsidRPr="002F6BC9">
        <w:rPr>
          <w:rFonts w:ascii="Times New Roman" w:hAnsi="Times New Roman" w:cs="Times New Roman"/>
          <w:i/>
          <w:sz w:val="22"/>
        </w:rPr>
        <w:t>β</w:t>
      </w:r>
      <w:r w:rsidRPr="00934858">
        <w:rPr>
          <w:rFonts w:ascii="Arial" w:hAnsi="Arial"/>
          <w:i/>
          <w:sz w:val="22"/>
          <w:vertAlign w:val="subscript"/>
        </w:rPr>
        <w:t>1</w:t>
      </w:r>
      <w:r w:rsidRPr="00934858">
        <w:rPr>
          <w:rFonts w:ascii="Arial" w:hAnsi="Arial"/>
          <w:sz w:val="22"/>
        </w:rPr>
        <w:t xml:space="preserve"> is the mean staining index of tissue B. </w:t>
      </w:r>
    </w:p>
    <w:p w:rsidR="00235083" w:rsidRPr="00DB2FD6" w:rsidRDefault="00235083" w:rsidP="00235083">
      <w:pPr>
        <w:jc w:val="both"/>
        <w:rPr>
          <w:rFonts w:ascii="Arial" w:hAnsi="Arial"/>
          <w:sz w:val="22"/>
        </w:rPr>
      </w:pPr>
    </w:p>
    <w:p w:rsidR="007831B8" w:rsidRDefault="00235083" w:rsidP="00235083">
      <w:pPr>
        <w:jc w:val="both"/>
        <w:rPr>
          <w:rFonts w:ascii="Arial" w:hAnsi="Arial"/>
          <w:sz w:val="22"/>
        </w:rPr>
      </w:pPr>
      <w:r w:rsidRPr="00934858">
        <w:rPr>
          <w:rFonts w:ascii="Arial" w:hAnsi="Arial"/>
          <w:sz w:val="22"/>
        </w:rPr>
        <w:t xml:space="preserve">To account for variable lengths of follow-up </w:t>
      </w:r>
      <w:r>
        <w:rPr>
          <w:rFonts w:ascii="Arial" w:hAnsi="Arial"/>
          <w:sz w:val="22"/>
        </w:rPr>
        <w:t xml:space="preserve">times </w:t>
      </w:r>
      <w:r w:rsidRPr="00934858">
        <w:rPr>
          <w:rFonts w:ascii="Arial" w:hAnsi="Arial"/>
          <w:sz w:val="22"/>
        </w:rPr>
        <w:t>and to control for other variables previously shown to be associated with time to recurrence, the following model was additionally fit to staining associations between recurrent and non-recurrent patients:</w:t>
      </w:r>
    </w:p>
    <w:p w:rsidR="00235083" w:rsidRDefault="00ED7E9C" w:rsidP="00ED7E9C">
      <w:pPr>
        <w:jc w:val="both"/>
        <w:rPr>
          <w:rFonts w:ascii="Arial" w:hAnsi="Arial"/>
          <w:sz w:val="22"/>
        </w:rPr>
      </w:pPr>
      <w:r w:rsidRPr="00ED7E9C">
        <w:rPr>
          <w:rFonts w:ascii="Arial" w:hAnsi="Arial"/>
          <w:position w:val="-16"/>
          <w:sz w:val="22"/>
        </w:rPr>
        <w:object w:dxaOrig="6320" w:dyaOrig="460">
          <v:shape id="_x0000_i1027" type="#_x0000_t75" style="width:316.5pt;height:23.5pt" o:ole="">
            <v:imagedata r:id="rId10" o:title=""/>
          </v:shape>
          <o:OLEObject Type="Embed" ProgID="Equation.3" ShapeID="_x0000_i1027" DrawAspect="Content" ObjectID="_1442226472" r:id="rId11"/>
        </w:object>
      </w:r>
      <w:r>
        <w:rPr>
          <w:rFonts w:ascii="Arial" w:hAnsi="Arial"/>
          <w:sz w:val="22"/>
        </w:rPr>
        <w:tab/>
      </w:r>
      <w:r>
        <w:rPr>
          <w:rFonts w:ascii="Arial" w:hAnsi="Arial"/>
          <w:sz w:val="22"/>
        </w:rPr>
        <w:tab/>
      </w:r>
      <w:r>
        <w:rPr>
          <w:rFonts w:ascii="Arial" w:hAnsi="Arial"/>
          <w:sz w:val="22"/>
        </w:rPr>
        <w:tab/>
      </w:r>
      <w:r w:rsidR="00235083" w:rsidRPr="00934858">
        <w:rPr>
          <w:rFonts w:ascii="Arial" w:hAnsi="Arial"/>
          <w:sz w:val="22"/>
        </w:rPr>
        <w:t>(3),</w:t>
      </w:r>
    </w:p>
    <w:p w:rsidR="00BB3137" w:rsidRDefault="00235083" w:rsidP="00235083">
      <w:pPr>
        <w:jc w:val="both"/>
        <w:rPr>
          <w:rFonts w:ascii="Arial" w:hAnsi="Arial"/>
          <w:sz w:val="22"/>
        </w:rPr>
      </w:pPr>
      <w:r w:rsidRPr="00934858">
        <w:rPr>
          <w:rFonts w:ascii="Arial" w:hAnsi="Arial"/>
          <w:sz w:val="22"/>
        </w:rPr>
        <w:t xml:space="preserve">where </w:t>
      </w:r>
      <w:r w:rsidRPr="00934858">
        <w:rPr>
          <w:rFonts w:ascii="Arial" w:hAnsi="Arial"/>
          <w:i/>
          <w:sz w:val="22"/>
        </w:rPr>
        <w:sym w:font="Symbol" w:char="F06C"/>
      </w:r>
      <w:r w:rsidRPr="00934858">
        <w:rPr>
          <w:rFonts w:ascii="Arial" w:hAnsi="Arial"/>
          <w:i/>
          <w:sz w:val="22"/>
        </w:rPr>
        <w:t>(t)</w:t>
      </w:r>
      <w:r w:rsidRPr="00934858">
        <w:rPr>
          <w:rFonts w:ascii="Arial" w:hAnsi="Arial"/>
          <w:sz w:val="22"/>
        </w:rPr>
        <w:t xml:space="preserve"> is the hazard of recurrence </w:t>
      </w:r>
      <w:r w:rsidR="00E3774A" w:rsidRPr="00E3774A">
        <w:rPr>
          <w:rFonts w:ascii="Arial" w:hAnsi="Arial"/>
          <w:i/>
          <w:sz w:val="22"/>
        </w:rPr>
        <w:t>t</w:t>
      </w:r>
      <w:r w:rsidRPr="00934858">
        <w:rPr>
          <w:rFonts w:ascii="Arial" w:hAnsi="Arial"/>
          <w:sz w:val="22"/>
        </w:rPr>
        <w:t xml:space="preserve"> months after radical prostatectomy (RP), </w:t>
      </w:r>
      <w:r w:rsidRPr="00934858">
        <w:rPr>
          <w:rFonts w:ascii="Arial" w:hAnsi="Arial"/>
          <w:i/>
          <w:sz w:val="22"/>
        </w:rPr>
        <w:sym w:font="Symbol" w:char="F06C"/>
      </w:r>
      <w:r w:rsidRPr="00934858">
        <w:rPr>
          <w:rFonts w:ascii="Arial" w:hAnsi="Arial"/>
          <w:i/>
          <w:sz w:val="22"/>
          <w:vertAlign w:val="subscript"/>
        </w:rPr>
        <w:t>0</w:t>
      </w:r>
      <w:r w:rsidRPr="00934858">
        <w:rPr>
          <w:rFonts w:ascii="Arial" w:hAnsi="Arial"/>
          <w:i/>
          <w:sz w:val="22"/>
        </w:rPr>
        <w:t>(t)</w:t>
      </w:r>
      <w:r w:rsidRPr="00934858">
        <w:rPr>
          <w:rFonts w:ascii="Arial" w:hAnsi="Arial"/>
          <w:sz w:val="22"/>
        </w:rPr>
        <w:t xml:space="preserve"> is an unspecified baseline hazard of recurrence, </w:t>
      </w:r>
      <w:r w:rsidRPr="00934858">
        <w:rPr>
          <w:rFonts w:ascii="Arial" w:hAnsi="Arial"/>
          <w:i/>
          <w:sz w:val="22"/>
        </w:rPr>
        <w:t>Age</w:t>
      </w:r>
      <w:r w:rsidRPr="00934858">
        <w:rPr>
          <w:rFonts w:ascii="Arial" w:hAnsi="Arial"/>
          <w:sz w:val="22"/>
        </w:rPr>
        <w:t xml:space="preserve"> is patient age at RP, </w:t>
      </w:r>
      <w:r w:rsidRPr="00934858">
        <w:rPr>
          <w:rFonts w:ascii="Arial" w:hAnsi="Arial"/>
          <w:i/>
          <w:sz w:val="22"/>
        </w:rPr>
        <w:t>Gleason</w:t>
      </w:r>
      <w:r w:rsidRPr="00934858">
        <w:rPr>
          <w:rFonts w:ascii="Arial" w:hAnsi="Arial"/>
          <w:sz w:val="22"/>
        </w:rPr>
        <w:t xml:space="preserve"> is </w:t>
      </w:r>
      <w:r>
        <w:rPr>
          <w:rFonts w:ascii="Arial" w:hAnsi="Arial"/>
          <w:sz w:val="22"/>
        </w:rPr>
        <w:t>the G</w:t>
      </w:r>
      <w:r w:rsidRPr="00934858">
        <w:rPr>
          <w:rFonts w:ascii="Arial" w:hAnsi="Arial"/>
          <w:sz w:val="22"/>
        </w:rPr>
        <w:t xml:space="preserve">leason sum at RP, </w:t>
      </w:r>
      <w:r w:rsidRPr="00934858">
        <w:rPr>
          <w:rFonts w:ascii="Arial" w:hAnsi="Arial"/>
          <w:i/>
          <w:sz w:val="22"/>
        </w:rPr>
        <w:t>Volume</w:t>
      </w:r>
      <w:r w:rsidRPr="00934858">
        <w:rPr>
          <w:rFonts w:ascii="Arial" w:hAnsi="Arial"/>
          <w:sz w:val="22"/>
        </w:rPr>
        <w:t xml:space="preserve"> is tumor volume at RP, </w:t>
      </w:r>
      <w:r w:rsidRPr="00934858">
        <w:rPr>
          <w:rFonts w:ascii="Arial" w:hAnsi="Arial"/>
          <w:i/>
          <w:sz w:val="22"/>
        </w:rPr>
        <w:t>Index</w:t>
      </w:r>
      <w:r w:rsidRPr="00934858">
        <w:rPr>
          <w:rFonts w:ascii="Arial" w:hAnsi="Arial"/>
          <w:sz w:val="22"/>
        </w:rPr>
        <w:t xml:space="preserve"> is the staining index</w:t>
      </w:r>
      <w:r w:rsidR="00107C9A">
        <w:rPr>
          <w:rFonts w:ascii="Arial" w:hAnsi="Arial"/>
          <w:sz w:val="22"/>
        </w:rPr>
        <w:t>,</w:t>
      </w:r>
      <w:r w:rsidRPr="00934858">
        <w:rPr>
          <w:rFonts w:ascii="Arial" w:hAnsi="Arial"/>
          <w:sz w:val="22"/>
        </w:rPr>
        <w:t xml:space="preserve"> and </w:t>
      </w:r>
      <w:r w:rsidRPr="00934858">
        <w:rPr>
          <w:rFonts w:ascii="Arial" w:hAnsi="Arial"/>
          <w:i/>
          <w:sz w:val="22"/>
        </w:rPr>
        <w:sym w:font="Symbol" w:char="F074"/>
      </w:r>
      <w:proofErr w:type="spellStart"/>
      <w:r w:rsidRPr="00934858">
        <w:rPr>
          <w:rFonts w:ascii="Arial" w:hAnsi="Arial"/>
          <w:i/>
          <w:sz w:val="22"/>
          <w:vertAlign w:val="subscript"/>
        </w:rPr>
        <w:t>ij</w:t>
      </w:r>
      <w:proofErr w:type="spellEnd"/>
      <w:r w:rsidRPr="00934858">
        <w:rPr>
          <w:rFonts w:ascii="Arial" w:hAnsi="Arial"/>
          <w:sz w:val="22"/>
        </w:rPr>
        <w:t xml:space="preserve"> is an independent normally distributed frailty with mean 0 and variance </w:t>
      </w:r>
      <w:r>
        <w:rPr>
          <w:rFonts w:ascii="Arial" w:hAnsi="Arial"/>
          <w:noProof/>
          <w:position w:val="-8"/>
          <w:sz w:val="22"/>
        </w:rPr>
        <w:drawing>
          <wp:inline distT="0" distB="0" distL="0" distR="0">
            <wp:extent cx="162560" cy="203200"/>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62560" cy="203200"/>
                    </a:xfrm>
                    <a:prstGeom prst="rect">
                      <a:avLst/>
                    </a:prstGeom>
                    <a:noFill/>
                    <a:ln w="9525">
                      <a:noFill/>
                      <a:miter lim="800000"/>
                      <a:headEnd/>
                      <a:tailEnd/>
                    </a:ln>
                  </pic:spPr>
                </pic:pic>
              </a:graphicData>
            </a:graphic>
          </wp:inline>
        </w:drawing>
      </w:r>
      <w:r w:rsidRPr="00934858">
        <w:rPr>
          <w:rFonts w:ascii="Arial" w:hAnsi="Arial"/>
          <w:sz w:val="22"/>
        </w:rPr>
        <w:t>.</w:t>
      </w:r>
    </w:p>
    <w:p w:rsidR="00BB3137" w:rsidRDefault="00BB3137" w:rsidP="00235083">
      <w:pPr>
        <w:jc w:val="both"/>
        <w:rPr>
          <w:rFonts w:ascii="Arial" w:hAnsi="Arial"/>
          <w:sz w:val="22"/>
        </w:rPr>
      </w:pPr>
    </w:p>
    <w:p w:rsidR="00103EA8" w:rsidRDefault="00BB3137" w:rsidP="00235083">
      <w:pPr>
        <w:jc w:val="both"/>
        <w:rPr>
          <w:rFonts w:ascii="Arial" w:hAnsi="Arial"/>
          <w:i/>
          <w:sz w:val="22"/>
          <w:u w:val="single"/>
        </w:rPr>
      </w:pPr>
      <w:r>
        <w:rPr>
          <w:rFonts w:ascii="Arial" w:hAnsi="Arial"/>
          <w:i/>
          <w:sz w:val="22"/>
          <w:u w:val="single"/>
        </w:rPr>
        <w:t xml:space="preserve">Statistical Analysis of </w:t>
      </w:r>
      <w:r w:rsidR="00103EA8">
        <w:rPr>
          <w:rFonts w:ascii="Arial" w:hAnsi="Arial"/>
          <w:i/>
          <w:sz w:val="22"/>
          <w:u w:val="single"/>
        </w:rPr>
        <w:t xml:space="preserve">PSA and Tumor Response to Cabozantinib Treatment </w:t>
      </w:r>
    </w:p>
    <w:p w:rsidR="00CA5FFD" w:rsidRDefault="00103EA8" w:rsidP="00235083">
      <w:pPr>
        <w:jc w:val="both"/>
        <w:rPr>
          <w:rFonts w:ascii="Arial" w:hAnsi="Arial"/>
          <w:sz w:val="22"/>
        </w:rPr>
      </w:pPr>
      <w:r w:rsidRPr="00103EA8">
        <w:rPr>
          <w:rFonts w:ascii="Arial" w:hAnsi="Arial" w:cs="Arial"/>
          <w:sz w:val="22"/>
          <w:szCs w:val="22"/>
        </w:rPr>
        <w:t>Longitudinal tumor measurements and PSA serum levels were log-transformed and modeled using linear mixed models with random effects for each animal. The models estimated growth rates in cabozantinib or control groups while accounting for variability in the initial measurements across animals. Following standard diagnostic assessment of model fit, we simulated 1000 datasets from each ﬁtted model, calculated empirical mean and 95% confidence limits at each time point, and reﬁt the models to these datasets. Final results represent means and 95% conﬁdence limits of 1000 bootstrap replicates.</w:t>
      </w:r>
      <w:r w:rsidR="00CA5FFD">
        <w:rPr>
          <w:rFonts w:ascii="Arial" w:hAnsi="Arial"/>
          <w:sz w:val="22"/>
        </w:rPr>
        <w:t xml:space="preserve"> Specifically, g</w:t>
      </w:r>
      <w:r w:rsidR="00BB3137">
        <w:rPr>
          <w:rFonts w:ascii="Arial" w:hAnsi="Arial"/>
          <w:sz w:val="22"/>
        </w:rPr>
        <w:t>rowth trajectories for each variable were predicted by fitting data to the following model:</w:t>
      </w:r>
    </w:p>
    <w:p w:rsidR="00BB3137" w:rsidRDefault="00BB3137" w:rsidP="00235083">
      <w:pPr>
        <w:jc w:val="both"/>
        <w:rPr>
          <w:rFonts w:ascii="Arial" w:hAnsi="Arial"/>
          <w:sz w:val="22"/>
        </w:rPr>
      </w:pPr>
    </w:p>
    <w:p w:rsidR="00D3404A" w:rsidRDefault="00CA5FFD" w:rsidP="00235083">
      <w:pPr>
        <w:jc w:val="both"/>
        <w:rPr>
          <w:rFonts w:ascii="Arial" w:hAnsi="Arial"/>
          <w:sz w:val="22"/>
        </w:rPr>
      </w:pPr>
      <w:r w:rsidRPr="00BB3137">
        <w:rPr>
          <w:rFonts w:ascii="Arial" w:hAnsi="Arial"/>
          <w:position w:val="-12"/>
          <w:sz w:val="22"/>
        </w:rPr>
        <w:object w:dxaOrig="8180" w:dyaOrig="320">
          <v:shape id="_x0000_i1028" type="#_x0000_t75" style="width:409pt;height:16pt" o:ole="">
            <v:imagedata r:id="rId13" o:title=""/>
          </v:shape>
          <o:OLEObject Type="Embed" ProgID="Equation.3" ShapeID="_x0000_i1028" DrawAspect="Content" ObjectID="_1442226473" r:id="rId14"/>
        </w:object>
      </w:r>
      <w:r>
        <w:rPr>
          <w:rFonts w:ascii="Arial" w:hAnsi="Arial"/>
          <w:sz w:val="22"/>
        </w:rPr>
        <w:t xml:space="preserve"> (4),</w:t>
      </w:r>
    </w:p>
    <w:p w:rsidR="00CA5FFD" w:rsidRDefault="00CA5FFD" w:rsidP="00235083">
      <w:pPr>
        <w:jc w:val="both"/>
        <w:rPr>
          <w:rFonts w:ascii="Arial" w:hAnsi="Arial"/>
          <w:sz w:val="22"/>
        </w:rPr>
      </w:pPr>
    </w:p>
    <w:p w:rsidR="00235083" w:rsidRDefault="00D3404A" w:rsidP="00235083">
      <w:pPr>
        <w:jc w:val="both"/>
        <w:rPr>
          <w:rFonts w:ascii="Arial" w:hAnsi="Arial"/>
          <w:sz w:val="22"/>
        </w:rPr>
      </w:pPr>
      <w:r>
        <w:rPr>
          <w:rFonts w:ascii="Arial" w:hAnsi="Arial"/>
          <w:sz w:val="22"/>
        </w:rPr>
        <w:t>where</w:t>
      </w:r>
      <w:r w:rsidR="001170BD">
        <w:rPr>
          <w:rFonts w:ascii="Arial" w:hAnsi="Arial"/>
          <w:sz w:val="22"/>
        </w:rPr>
        <w:t xml:space="preserve"> </w:t>
      </w:r>
      <w:r w:rsidRPr="00D3404A">
        <w:rPr>
          <w:rFonts w:ascii="Arial" w:hAnsi="Arial"/>
          <w:position w:val="-12"/>
          <w:sz w:val="22"/>
        </w:rPr>
        <w:object w:dxaOrig="1480" w:dyaOrig="320">
          <v:shape id="_x0000_i1029" type="#_x0000_t75" style="width:74.5pt;height:16pt" o:ole="">
            <v:imagedata r:id="rId15" o:title=""/>
          </v:shape>
          <o:OLEObject Type="Embed" ProgID="Equation.3" ShapeID="_x0000_i1029" DrawAspect="Content" ObjectID="_1442226474" r:id="rId16"/>
        </w:object>
      </w:r>
      <w:r>
        <w:rPr>
          <w:rFonts w:ascii="Arial" w:hAnsi="Arial"/>
          <w:sz w:val="22"/>
        </w:rPr>
        <w:t xml:space="preserve"> </w:t>
      </w:r>
      <w:r w:rsidR="00CA5FFD">
        <w:rPr>
          <w:rFonts w:ascii="Arial" w:hAnsi="Arial"/>
          <w:sz w:val="22"/>
        </w:rPr>
        <w:t xml:space="preserve">is the log-transformed body weight, PSA, or tumor volume measurement </w:t>
      </w:r>
      <w:r w:rsidR="00CA5FFD" w:rsidRPr="00D3404A">
        <w:rPr>
          <w:rFonts w:ascii="Arial" w:hAnsi="Arial"/>
          <w:i/>
          <w:sz w:val="22"/>
        </w:rPr>
        <w:t xml:space="preserve">j </w:t>
      </w:r>
      <w:r w:rsidR="00CA5FFD">
        <w:rPr>
          <w:rFonts w:ascii="Arial" w:hAnsi="Arial"/>
          <w:sz w:val="22"/>
        </w:rPr>
        <w:t xml:space="preserve">for animal </w:t>
      </w:r>
      <w:proofErr w:type="spellStart"/>
      <w:r>
        <w:rPr>
          <w:rFonts w:ascii="Arial" w:hAnsi="Arial"/>
          <w:i/>
          <w:sz w:val="22"/>
        </w:rPr>
        <w:t>i</w:t>
      </w:r>
      <w:proofErr w:type="spellEnd"/>
      <w:r w:rsidR="00CA5FFD">
        <w:rPr>
          <w:rFonts w:ascii="Arial" w:hAnsi="Arial"/>
          <w:sz w:val="22"/>
        </w:rPr>
        <w:t>,</w:t>
      </w:r>
      <w:r>
        <w:rPr>
          <w:rFonts w:ascii="Arial" w:hAnsi="Arial"/>
          <w:sz w:val="22"/>
        </w:rPr>
        <w:t xml:space="preserve"> </w:t>
      </w:r>
      <w:proofErr w:type="spellStart"/>
      <w:r w:rsidRPr="00D3404A">
        <w:rPr>
          <w:rFonts w:ascii="Arial" w:hAnsi="Arial"/>
          <w:i/>
          <w:sz w:val="22"/>
        </w:rPr>
        <w:t>Week</w:t>
      </w:r>
      <w:r w:rsidR="00CA5FFD" w:rsidRPr="00D3404A">
        <w:rPr>
          <w:rFonts w:ascii="Arial" w:hAnsi="Arial"/>
          <w:i/>
          <w:sz w:val="22"/>
          <w:vertAlign w:val="subscript"/>
        </w:rPr>
        <w:t>ij</w:t>
      </w:r>
      <w:proofErr w:type="spellEnd"/>
      <w:r w:rsidR="00CA5FFD">
        <w:rPr>
          <w:rFonts w:ascii="Arial" w:hAnsi="Arial"/>
          <w:sz w:val="22"/>
        </w:rPr>
        <w:t xml:space="preserve"> is a week of measurement, </w:t>
      </w:r>
      <w:proofErr w:type="spellStart"/>
      <w:r w:rsidR="00CA5FFD" w:rsidRPr="00D3404A">
        <w:rPr>
          <w:rFonts w:ascii="Arial" w:hAnsi="Arial"/>
          <w:i/>
          <w:sz w:val="22"/>
        </w:rPr>
        <w:t>cabozantinib</w:t>
      </w:r>
      <w:r w:rsidR="00CA5FFD" w:rsidRPr="00D3404A">
        <w:rPr>
          <w:rFonts w:ascii="Arial" w:hAnsi="Arial"/>
          <w:i/>
          <w:sz w:val="22"/>
          <w:vertAlign w:val="subscript"/>
        </w:rPr>
        <w:t>ij</w:t>
      </w:r>
      <w:proofErr w:type="spellEnd"/>
      <w:r w:rsidR="00CA5FFD">
        <w:rPr>
          <w:rFonts w:ascii="Arial" w:hAnsi="Arial"/>
          <w:sz w:val="22"/>
        </w:rPr>
        <w:t xml:space="preserve"> indicates treatment group (0=control and 1=cabozantinib</w:t>
      </w:r>
      <w:r w:rsidR="00E3774A" w:rsidRPr="00E3774A">
        <w:rPr>
          <w:rFonts w:ascii="Arial" w:hAnsi="Arial"/>
          <w:sz w:val="22"/>
        </w:rPr>
        <w:t>),</w:t>
      </w:r>
      <w:r w:rsidR="00CA5FFD" w:rsidRPr="00D3404A">
        <w:rPr>
          <w:rFonts w:ascii="Arial" w:hAnsi="Arial"/>
          <w:i/>
          <w:sz w:val="22"/>
        </w:rPr>
        <w:t xml:space="preserve"> b</w:t>
      </w:r>
      <w:r w:rsidR="00CA5FFD" w:rsidRPr="00D3404A">
        <w:rPr>
          <w:rFonts w:ascii="Arial" w:hAnsi="Arial"/>
          <w:i/>
          <w:sz w:val="22"/>
          <w:vertAlign w:val="subscript"/>
        </w:rPr>
        <w:t>i</w:t>
      </w:r>
      <w:r w:rsidR="00CA5FFD">
        <w:rPr>
          <w:rFonts w:ascii="Arial" w:hAnsi="Arial"/>
          <w:sz w:val="22"/>
        </w:rPr>
        <w:t xml:space="preserve"> is an animal-specific independent and normally distributed random effect with mean </w:t>
      </w:r>
      <w:r>
        <w:rPr>
          <w:rFonts w:ascii="Arial" w:hAnsi="Arial"/>
          <w:sz w:val="22"/>
        </w:rPr>
        <w:t>0</w:t>
      </w:r>
      <w:r w:rsidR="00CA5FFD">
        <w:rPr>
          <w:rFonts w:ascii="Arial" w:hAnsi="Arial"/>
          <w:sz w:val="22"/>
        </w:rPr>
        <w:t xml:space="preserve"> and variance </w:t>
      </w:r>
      <w:r w:rsidRPr="00D3404A">
        <w:rPr>
          <w:rFonts w:ascii="Arial" w:hAnsi="Arial"/>
          <w:position w:val="-8"/>
          <w:sz w:val="22"/>
        </w:rPr>
        <w:object w:dxaOrig="260" w:dyaOrig="320">
          <v:shape id="_x0000_i1030" type="#_x0000_t75" style="width:12.5pt;height:16pt" o:ole="">
            <v:imagedata r:id="rId17" o:title=""/>
          </v:shape>
          <o:OLEObject Type="Embed" ProgID="Equation.3" ShapeID="_x0000_i1030" DrawAspect="Content" ObjectID="_1442226475" r:id="rId18"/>
        </w:object>
      </w:r>
      <w:r w:rsidR="00CA5FFD">
        <w:rPr>
          <w:rFonts w:ascii="Arial" w:hAnsi="Arial"/>
          <w:sz w:val="22"/>
        </w:rPr>
        <w:t xml:space="preserve">, and </w:t>
      </w:r>
      <w:r w:rsidRPr="00D3404A">
        <w:rPr>
          <w:rFonts w:ascii="Arial" w:hAnsi="Arial"/>
          <w:i/>
          <w:sz w:val="22"/>
        </w:rPr>
        <w:sym w:font="Symbol" w:char="F065"/>
      </w:r>
      <w:proofErr w:type="spellStart"/>
      <w:r w:rsidRPr="00D3404A">
        <w:rPr>
          <w:rFonts w:ascii="Arial" w:hAnsi="Arial"/>
          <w:i/>
          <w:sz w:val="22"/>
          <w:vertAlign w:val="subscript"/>
        </w:rPr>
        <w:t>ij</w:t>
      </w:r>
      <w:proofErr w:type="spellEnd"/>
      <w:r w:rsidR="00CA5FFD">
        <w:rPr>
          <w:rFonts w:ascii="Arial" w:hAnsi="Arial"/>
          <w:sz w:val="22"/>
        </w:rPr>
        <w:t xml:space="preserve"> is an independent and normally distributed error term with mean 0 and variance </w:t>
      </w:r>
      <w:r w:rsidRPr="00D3404A">
        <w:rPr>
          <w:rFonts w:ascii="Arial" w:hAnsi="Arial"/>
          <w:position w:val="-8"/>
          <w:sz w:val="22"/>
        </w:rPr>
        <w:object w:dxaOrig="260" w:dyaOrig="320">
          <v:shape id="_x0000_i1031" type="#_x0000_t75" style="width:12.5pt;height:16pt" o:ole="">
            <v:imagedata r:id="rId19" o:title=""/>
          </v:shape>
          <o:OLEObject Type="Embed" ProgID="Equation.3" ShapeID="_x0000_i1031" DrawAspect="Content" ObjectID="_1442226476" r:id="rId20"/>
        </w:object>
      </w:r>
      <w:r>
        <w:rPr>
          <w:rFonts w:ascii="Arial" w:hAnsi="Arial"/>
          <w:sz w:val="22"/>
        </w:rPr>
        <w:t>.</w:t>
      </w:r>
    </w:p>
    <w:p w:rsidR="00103EA8" w:rsidRDefault="00103EA8" w:rsidP="00235083">
      <w:pPr>
        <w:jc w:val="both"/>
        <w:rPr>
          <w:rFonts w:ascii="Arial" w:hAnsi="Arial"/>
          <w:sz w:val="22"/>
        </w:rPr>
      </w:pPr>
    </w:p>
    <w:p w:rsidR="00103EA8" w:rsidRDefault="00103EA8" w:rsidP="00235083">
      <w:pPr>
        <w:jc w:val="both"/>
        <w:rPr>
          <w:rFonts w:ascii="Arial" w:hAnsi="Arial"/>
          <w:sz w:val="22"/>
        </w:rPr>
      </w:pPr>
      <w:r>
        <w:rPr>
          <w:rFonts w:ascii="Arial" w:hAnsi="Arial"/>
          <w:sz w:val="22"/>
        </w:rPr>
        <w:br w:type="page"/>
      </w:r>
      <w:r>
        <w:rPr>
          <w:rFonts w:ascii="Arial" w:hAnsi="Arial"/>
          <w:sz w:val="22"/>
        </w:rPr>
        <w:lastRenderedPageBreak/>
        <w:t>Supplemental TABLE 1</w:t>
      </w:r>
    </w:p>
    <w:p w:rsidR="00103EA8" w:rsidRPr="00BB3137" w:rsidRDefault="00103EA8" w:rsidP="00235083">
      <w:pPr>
        <w:jc w:val="both"/>
        <w:rPr>
          <w:rFonts w:ascii="Arial" w:hAnsi="Arial"/>
          <w:sz w:val="22"/>
        </w:rPr>
      </w:pPr>
      <w:proofErr w:type="gramStart"/>
      <w:r>
        <w:rPr>
          <w:rFonts w:ascii="Arial" w:hAnsi="Arial"/>
          <w:sz w:val="22"/>
        </w:rPr>
        <w:t>q-PCR</w:t>
      </w:r>
      <w:proofErr w:type="gramEnd"/>
      <w:r>
        <w:rPr>
          <w:rFonts w:ascii="Arial" w:hAnsi="Arial"/>
          <w:sz w:val="22"/>
        </w:rPr>
        <w:t xml:space="preserve"> primers</w:t>
      </w:r>
    </w:p>
    <w:p w:rsidR="002E1793" w:rsidRDefault="002E1793" w:rsidP="00235083">
      <w:pPr>
        <w:jc w:val="both"/>
        <w:rPr>
          <w:rFonts w:ascii="Arial" w:hAnsi="Arial" w:cs="Arial"/>
          <w:sz w:val="22"/>
          <w:szCs w:val="22"/>
        </w:rPr>
      </w:pPr>
    </w:p>
    <w:tbl>
      <w:tblPr>
        <w:tblStyle w:val="TableGrid"/>
        <w:tblW w:w="10242"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tblPr>
      <w:tblGrid>
        <w:gridCol w:w="2052"/>
        <w:gridCol w:w="4050"/>
        <w:gridCol w:w="4140"/>
      </w:tblGrid>
      <w:tr w:rsidR="002E1793" w:rsidRPr="002E1793" w:rsidTr="00834020">
        <w:tc>
          <w:tcPr>
            <w:tcW w:w="2052" w:type="dxa"/>
          </w:tcPr>
          <w:p w:rsidR="002E1793" w:rsidRPr="00103EA8" w:rsidRDefault="002E1793" w:rsidP="00235083">
            <w:pPr>
              <w:rPr>
                <w:rFonts w:ascii="Arial" w:hAnsi="Arial"/>
              </w:rPr>
            </w:pPr>
            <w:r w:rsidRPr="00103EA8">
              <w:rPr>
                <w:rFonts w:ascii="Arial" w:hAnsi="Arial"/>
              </w:rPr>
              <w:t>Gene</w:t>
            </w:r>
          </w:p>
        </w:tc>
        <w:tc>
          <w:tcPr>
            <w:tcW w:w="4050" w:type="dxa"/>
          </w:tcPr>
          <w:p w:rsidR="002E1793" w:rsidRPr="00103EA8" w:rsidRDefault="00103EA8" w:rsidP="00235083">
            <w:pPr>
              <w:rPr>
                <w:rFonts w:ascii="Arial" w:hAnsi="Arial"/>
              </w:rPr>
            </w:pPr>
            <w:r w:rsidRPr="00103EA8">
              <w:rPr>
                <w:rFonts w:ascii="Arial" w:hAnsi="Arial"/>
              </w:rPr>
              <w:t>Forward Primer</w:t>
            </w:r>
          </w:p>
        </w:tc>
        <w:tc>
          <w:tcPr>
            <w:tcW w:w="4140" w:type="dxa"/>
          </w:tcPr>
          <w:p w:rsidR="002E1793" w:rsidRPr="00103EA8" w:rsidRDefault="00103EA8" w:rsidP="00235083">
            <w:pPr>
              <w:rPr>
                <w:rFonts w:ascii="Arial" w:hAnsi="Arial"/>
              </w:rPr>
            </w:pPr>
            <w:r w:rsidRPr="00103EA8">
              <w:rPr>
                <w:rFonts w:ascii="Arial" w:hAnsi="Arial"/>
              </w:rPr>
              <w:t>Reverse Primer</w:t>
            </w:r>
          </w:p>
        </w:tc>
      </w:tr>
      <w:tr w:rsidR="002E1793" w:rsidRPr="002E1793" w:rsidTr="00834020">
        <w:tc>
          <w:tcPr>
            <w:tcW w:w="2052" w:type="dxa"/>
          </w:tcPr>
          <w:p w:rsidR="002E1793" w:rsidRPr="00103EA8" w:rsidRDefault="002E1793" w:rsidP="00235083">
            <w:pPr>
              <w:rPr>
                <w:rFonts w:ascii="Arial" w:hAnsi="Arial"/>
              </w:rPr>
            </w:pPr>
            <w:r w:rsidRPr="00103EA8">
              <w:rPr>
                <w:rFonts w:ascii="Arial" w:hAnsi="Arial"/>
              </w:rPr>
              <w:t>MET</w:t>
            </w:r>
          </w:p>
        </w:tc>
        <w:tc>
          <w:tcPr>
            <w:tcW w:w="4050" w:type="dxa"/>
          </w:tcPr>
          <w:p w:rsidR="002E1793" w:rsidRPr="002E1793" w:rsidRDefault="002E1793" w:rsidP="00235083">
            <w:pPr>
              <w:rPr>
                <w:rFonts w:ascii="Arial" w:hAnsi="Arial"/>
              </w:rPr>
            </w:pPr>
            <w:r w:rsidRPr="002E1793">
              <w:rPr>
                <w:rFonts w:ascii="Arial" w:hAnsi="Arial"/>
                <w:sz w:val="22"/>
              </w:rPr>
              <w:t>CATGCCGACAAGTGCAGTA</w:t>
            </w:r>
          </w:p>
        </w:tc>
        <w:tc>
          <w:tcPr>
            <w:tcW w:w="4140" w:type="dxa"/>
          </w:tcPr>
          <w:p w:rsidR="002E1793" w:rsidRPr="002E1793" w:rsidRDefault="002E1793" w:rsidP="00235083">
            <w:pPr>
              <w:rPr>
                <w:rFonts w:ascii="Arial" w:hAnsi="Arial"/>
              </w:rPr>
            </w:pPr>
            <w:r w:rsidRPr="002E1793">
              <w:rPr>
                <w:rFonts w:ascii="Arial" w:hAnsi="Arial"/>
                <w:sz w:val="22"/>
              </w:rPr>
              <w:t>TCTTGCCATCATTGTCCAAC</w:t>
            </w:r>
          </w:p>
        </w:tc>
      </w:tr>
      <w:tr w:rsidR="002E1793" w:rsidRPr="002E1793" w:rsidTr="00834020">
        <w:tc>
          <w:tcPr>
            <w:tcW w:w="2052" w:type="dxa"/>
          </w:tcPr>
          <w:p w:rsidR="002E1793" w:rsidRPr="00103EA8" w:rsidRDefault="002E1793" w:rsidP="00235083">
            <w:pPr>
              <w:rPr>
                <w:rFonts w:ascii="Arial" w:hAnsi="Arial"/>
              </w:rPr>
            </w:pPr>
            <w:r w:rsidRPr="00103EA8">
              <w:rPr>
                <w:rFonts w:ascii="Arial" w:hAnsi="Arial"/>
              </w:rPr>
              <w:t>AXL</w:t>
            </w:r>
          </w:p>
        </w:tc>
        <w:tc>
          <w:tcPr>
            <w:tcW w:w="4050" w:type="dxa"/>
          </w:tcPr>
          <w:p w:rsidR="002E1793" w:rsidRPr="002E1793" w:rsidRDefault="002E1793" w:rsidP="00235083">
            <w:pPr>
              <w:rPr>
                <w:rFonts w:ascii="Arial" w:hAnsi="Arial"/>
              </w:rPr>
            </w:pPr>
            <w:r w:rsidRPr="002E1793">
              <w:rPr>
                <w:rFonts w:ascii="Arial" w:hAnsi="Arial"/>
                <w:sz w:val="22"/>
              </w:rPr>
              <w:t>GATGGACAGATCCTGGAGCTCG</w:t>
            </w:r>
          </w:p>
        </w:tc>
        <w:tc>
          <w:tcPr>
            <w:tcW w:w="4140" w:type="dxa"/>
          </w:tcPr>
          <w:p w:rsidR="002E1793" w:rsidRPr="002E1793" w:rsidRDefault="002E1793" w:rsidP="00235083">
            <w:pPr>
              <w:rPr>
                <w:rFonts w:ascii="Arial" w:hAnsi="Arial"/>
              </w:rPr>
            </w:pPr>
            <w:r w:rsidRPr="002E1793">
              <w:rPr>
                <w:rFonts w:ascii="Arial" w:hAnsi="Arial"/>
                <w:sz w:val="22"/>
              </w:rPr>
              <w:t>GATGCCCATCCCATCGTCTGAC</w:t>
            </w:r>
          </w:p>
        </w:tc>
      </w:tr>
      <w:tr w:rsidR="002E1793" w:rsidRPr="002E1793" w:rsidTr="00834020">
        <w:tc>
          <w:tcPr>
            <w:tcW w:w="2052" w:type="dxa"/>
          </w:tcPr>
          <w:p w:rsidR="002E1793" w:rsidRPr="00103EA8" w:rsidRDefault="00103EA8" w:rsidP="00235083">
            <w:pPr>
              <w:rPr>
                <w:rFonts w:ascii="Arial" w:hAnsi="Arial"/>
              </w:rPr>
            </w:pPr>
            <w:r w:rsidRPr="00103EA8">
              <w:rPr>
                <w:rFonts w:ascii="Arial" w:hAnsi="Arial"/>
              </w:rPr>
              <w:t>VEGFR2</w:t>
            </w:r>
            <w:r w:rsidR="000C7002">
              <w:rPr>
                <w:rFonts w:ascii="Arial" w:hAnsi="Arial"/>
              </w:rPr>
              <w:t xml:space="preserve"> (m</w:t>
            </w:r>
            <w:r w:rsidR="002E1793" w:rsidRPr="00103EA8">
              <w:rPr>
                <w:rFonts w:ascii="Arial" w:hAnsi="Arial"/>
              </w:rPr>
              <w:t>)</w:t>
            </w:r>
          </w:p>
        </w:tc>
        <w:tc>
          <w:tcPr>
            <w:tcW w:w="4050" w:type="dxa"/>
          </w:tcPr>
          <w:p w:rsidR="002E1793" w:rsidRPr="002E1793" w:rsidRDefault="00162275" w:rsidP="00235083">
            <w:pPr>
              <w:rPr>
                <w:rFonts w:ascii="Arial" w:hAnsi="Arial"/>
                <w:sz w:val="22"/>
              </w:rPr>
            </w:pPr>
            <w:proofErr w:type="spellStart"/>
            <w:r>
              <w:rPr>
                <w:rFonts w:ascii="Arial" w:hAnsi="Arial"/>
                <w:sz w:val="22"/>
              </w:rPr>
              <w:t>SABio</w:t>
            </w:r>
            <w:proofErr w:type="spellEnd"/>
            <w:r>
              <w:rPr>
                <w:rFonts w:ascii="Arial" w:hAnsi="Arial"/>
                <w:sz w:val="22"/>
              </w:rPr>
              <w:t xml:space="preserve"> Cat #</w:t>
            </w:r>
            <w:r>
              <w:rPr>
                <w:rFonts w:ascii="Arial" w:hAnsi="Arial" w:cs="Arial"/>
                <w:color w:val="3E3E3E"/>
              </w:rPr>
              <w:t>PPM03057A</w:t>
            </w:r>
          </w:p>
        </w:tc>
        <w:tc>
          <w:tcPr>
            <w:tcW w:w="4140" w:type="dxa"/>
          </w:tcPr>
          <w:p w:rsidR="002E1793" w:rsidRPr="002E1793" w:rsidRDefault="00162275" w:rsidP="00235083">
            <w:pPr>
              <w:rPr>
                <w:rFonts w:ascii="Arial" w:hAnsi="Arial"/>
                <w:sz w:val="22"/>
              </w:rPr>
            </w:pPr>
            <w:proofErr w:type="spellStart"/>
            <w:r>
              <w:rPr>
                <w:rFonts w:ascii="Arial" w:hAnsi="Arial"/>
                <w:sz w:val="22"/>
              </w:rPr>
              <w:t>SABio</w:t>
            </w:r>
            <w:proofErr w:type="spellEnd"/>
            <w:r>
              <w:rPr>
                <w:rFonts w:ascii="Arial" w:hAnsi="Arial"/>
                <w:sz w:val="22"/>
              </w:rPr>
              <w:t xml:space="preserve"> Cat #</w:t>
            </w:r>
            <w:r>
              <w:rPr>
                <w:rFonts w:ascii="Arial" w:hAnsi="Arial" w:cs="Arial"/>
                <w:color w:val="3E3E3E"/>
              </w:rPr>
              <w:t>PPM03057A</w:t>
            </w:r>
          </w:p>
        </w:tc>
      </w:tr>
      <w:tr w:rsidR="002E1793" w:rsidRPr="002E1793" w:rsidTr="00834020">
        <w:tc>
          <w:tcPr>
            <w:tcW w:w="2052" w:type="dxa"/>
          </w:tcPr>
          <w:p w:rsidR="002E1793" w:rsidRPr="00103EA8" w:rsidRDefault="00103EA8" w:rsidP="00235083">
            <w:pPr>
              <w:rPr>
                <w:rFonts w:ascii="Arial" w:hAnsi="Arial"/>
              </w:rPr>
            </w:pPr>
            <w:r w:rsidRPr="00103EA8">
              <w:rPr>
                <w:rFonts w:ascii="Arial" w:hAnsi="Arial"/>
              </w:rPr>
              <w:t>VEGFR2</w:t>
            </w:r>
            <w:r w:rsidR="002E1793" w:rsidRPr="00103EA8">
              <w:rPr>
                <w:rFonts w:ascii="Arial" w:hAnsi="Arial"/>
              </w:rPr>
              <w:t xml:space="preserve"> (h)</w:t>
            </w:r>
          </w:p>
        </w:tc>
        <w:tc>
          <w:tcPr>
            <w:tcW w:w="4050" w:type="dxa"/>
          </w:tcPr>
          <w:p w:rsidR="002E1793" w:rsidRPr="002E1793" w:rsidRDefault="002E1793" w:rsidP="00235083">
            <w:pPr>
              <w:rPr>
                <w:rFonts w:ascii="Arial" w:hAnsi="Arial"/>
              </w:rPr>
            </w:pPr>
            <w:r w:rsidRPr="002E1793">
              <w:rPr>
                <w:rFonts w:ascii="Arial" w:hAnsi="Arial"/>
                <w:sz w:val="22"/>
              </w:rPr>
              <w:t>GTGACCAACATGGAGTCGTG</w:t>
            </w:r>
          </w:p>
        </w:tc>
        <w:tc>
          <w:tcPr>
            <w:tcW w:w="4140" w:type="dxa"/>
          </w:tcPr>
          <w:p w:rsidR="002E1793" w:rsidRPr="002E1793" w:rsidRDefault="002E1793" w:rsidP="00235083">
            <w:pPr>
              <w:rPr>
                <w:rFonts w:ascii="Arial" w:hAnsi="Arial"/>
              </w:rPr>
            </w:pPr>
            <w:r w:rsidRPr="002E1793">
              <w:rPr>
                <w:rFonts w:ascii="Arial" w:hAnsi="Arial"/>
                <w:sz w:val="22"/>
              </w:rPr>
              <w:t>CCAGAGATTCCATGCCACTT</w:t>
            </w:r>
          </w:p>
        </w:tc>
      </w:tr>
      <w:tr w:rsidR="002E1793" w:rsidRPr="002E1793" w:rsidTr="00834020">
        <w:tc>
          <w:tcPr>
            <w:tcW w:w="2052" w:type="dxa"/>
          </w:tcPr>
          <w:p w:rsidR="002E1793" w:rsidRPr="00103EA8" w:rsidRDefault="002E1793" w:rsidP="00235083">
            <w:pPr>
              <w:rPr>
                <w:rFonts w:ascii="Arial" w:hAnsi="Arial"/>
              </w:rPr>
            </w:pPr>
            <w:r w:rsidRPr="00103EA8">
              <w:rPr>
                <w:rFonts w:ascii="Arial" w:hAnsi="Arial"/>
              </w:rPr>
              <w:t>KIT</w:t>
            </w:r>
          </w:p>
        </w:tc>
        <w:tc>
          <w:tcPr>
            <w:tcW w:w="4050" w:type="dxa"/>
          </w:tcPr>
          <w:p w:rsidR="002E1793" w:rsidRPr="002E1793" w:rsidRDefault="002E1793" w:rsidP="00235083">
            <w:pPr>
              <w:rPr>
                <w:rFonts w:ascii="Arial" w:hAnsi="Arial"/>
              </w:rPr>
            </w:pPr>
            <w:r w:rsidRPr="002E1793">
              <w:rPr>
                <w:rFonts w:ascii="Arial" w:hAnsi="Arial"/>
                <w:sz w:val="22"/>
              </w:rPr>
              <w:t>TGACTTACGACAGGCTCGTG</w:t>
            </w:r>
          </w:p>
        </w:tc>
        <w:tc>
          <w:tcPr>
            <w:tcW w:w="4140" w:type="dxa"/>
          </w:tcPr>
          <w:p w:rsidR="002E1793" w:rsidRPr="002E1793" w:rsidRDefault="002E1793" w:rsidP="00235083">
            <w:pPr>
              <w:rPr>
                <w:rFonts w:ascii="Arial" w:hAnsi="Arial"/>
              </w:rPr>
            </w:pPr>
            <w:r w:rsidRPr="002E1793">
              <w:rPr>
                <w:rFonts w:ascii="Arial" w:hAnsi="Arial"/>
                <w:sz w:val="22"/>
              </w:rPr>
              <w:t>CCACTGGCAGTACAGAAGCA</w:t>
            </w:r>
          </w:p>
        </w:tc>
      </w:tr>
      <w:tr w:rsidR="002E1793" w:rsidRPr="002E1793" w:rsidTr="00834020">
        <w:tc>
          <w:tcPr>
            <w:tcW w:w="2052" w:type="dxa"/>
          </w:tcPr>
          <w:p w:rsidR="002E1793" w:rsidRPr="00103EA8" w:rsidRDefault="002E1793" w:rsidP="00235083">
            <w:pPr>
              <w:rPr>
                <w:rFonts w:ascii="Arial" w:hAnsi="Arial"/>
              </w:rPr>
            </w:pPr>
            <w:r w:rsidRPr="00103EA8">
              <w:rPr>
                <w:rFonts w:ascii="Arial" w:hAnsi="Arial"/>
              </w:rPr>
              <w:t>RET</w:t>
            </w:r>
          </w:p>
        </w:tc>
        <w:tc>
          <w:tcPr>
            <w:tcW w:w="4050" w:type="dxa"/>
          </w:tcPr>
          <w:p w:rsidR="002E1793" w:rsidRPr="002E1793" w:rsidRDefault="002E1793" w:rsidP="00235083">
            <w:pPr>
              <w:rPr>
                <w:rFonts w:ascii="Arial" w:hAnsi="Arial"/>
              </w:rPr>
            </w:pPr>
            <w:r w:rsidRPr="002E1793">
              <w:rPr>
                <w:rFonts w:ascii="Arial" w:hAnsi="Arial"/>
                <w:sz w:val="22"/>
              </w:rPr>
              <w:t>GTGTGAGTGGAGGCAAGGAG</w:t>
            </w:r>
          </w:p>
        </w:tc>
        <w:tc>
          <w:tcPr>
            <w:tcW w:w="4140" w:type="dxa"/>
          </w:tcPr>
          <w:p w:rsidR="002E1793" w:rsidRPr="002E1793" w:rsidRDefault="002E1793" w:rsidP="00235083">
            <w:pPr>
              <w:rPr>
                <w:rFonts w:ascii="Arial" w:hAnsi="Arial"/>
              </w:rPr>
            </w:pPr>
            <w:r w:rsidRPr="002E1793">
              <w:rPr>
                <w:rFonts w:ascii="Arial" w:hAnsi="Arial"/>
                <w:sz w:val="22"/>
              </w:rPr>
              <w:t>GTCCTGAGGGCAAATGTTGA</w:t>
            </w:r>
          </w:p>
        </w:tc>
      </w:tr>
      <w:tr w:rsidR="002E1793" w:rsidRPr="002E1793" w:rsidTr="00834020">
        <w:tc>
          <w:tcPr>
            <w:tcW w:w="2052" w:type="dxa"/>
          </w:tcPr>
          <w:p w:rsidR="002E1793" w:rsidRPr="00103EA8" w:rsidRDefault="002E1793" w:rsidP="00235083">
            <w:pPr>
              <w:rPr>
                <w:rFonts w:ascii="Arial" w:hAnsi="Arial"/>
              </w:rPr>
            </w:pPr>
            <w:proofErr w:type="spellStart"/>
            <w:r w:rsidRPr="00103EA8">
              <w:rPr>
                <w:rFonts w:ascii="Arial" w:hAnsi="Arial"/>
              </w:rPr>
              <w:t>Endoglin</w:t>
            </w:r>
            <w:proofErr w:type="spellEnd"/>
            <w:r w:rsidRPr="00103EA8">
              <w:rPr>
                <w:rFonts w:ascii="Arial" w:hAnsi="Arial"/>
              </w:rPr>
              <w:t xml:space="preserve"> (h)</w:t>
            </w:r>
          </w:p>
        </w:tc>
        <w:tc>
          <w:tcPr>
            <w:tcW w:w="4050" w:type="dxa"/>
          </w:tcPr>
          <w:p w:rsidR="002E1793" w:rsidRPr="002E1793" w:rsidRDefault="002E1793" w:rsidP="00235083">
            <w:pPr>
              <w:rPr>
                <w:rFonts w:ascii="Arial" w:hAnsi="Arial"/>
                <w:sz w:val="22"/>
              </w:rPr>
            </w:pPr>
            <w:r w:rsidRPr="002E1793">
              <w:rPr>
                <w:rFonts w:ascii="Arial" w:hAnsi="Arial"/>
                <w:sz w:val="22"/>
              </w:rPr>
              <w:t>AGGCAGAGGACAGGGGTGACAA</w:t>
            </w:r>
          </w:p>
        </w:tc>
        <w:tc>
          <w:tcPr>
            <w:tcW w:w="4140" w:type="dxa"/>
          </w:tcPr>
          <w:p w:rsidR="002E1793" w:rsidRPr="002E1793" w:rsidRDefault="002E1793" w:rsidP="00235083">
            <w:pPr>
              <w:rPr>
                <w:rFonts w:ascii="Arial" w:hAnsi="Arial"/>
                <w:sz w:val="22"/>
              </w:rPr>
            </w:pPr>
            <w:r w:rsidRPr="002E1793">
              <w:rPr>
                <w:rFonts w:ascii="Arial" w:hAnsi="Arial"/>
                <w:sz w:val="22"/>
              </w:rPr>
              <w:t>GAGGAAGTGTGGGCTGAGGTAGAG</w:t>
            </w:r>
          </w:p>
        </w:tc>
      </w:tr>
      <w:tr w:rsidR="002E1793" w:rsidRPr="002E1793" w:rsidTr="00834020">
        <w:tc>
          <w:tcPr>
            <w:tcW w:w="2052" w:type="dxa"/>
          </w:tcPr>
          <w:p w:rsidR="002E1793" w:rsidRPr="00103EA8" w:rsidRDefault="000C7002" w:rsidP="00235083">
            <w:pPr>
              <w:rPr>
                <w:rFonts w:ascii="Arial" w:hAnsi="Arial"/>
              </w:rPr>
            </w:pPr>
            <w:proofErr w:type="spellStart"/>
            <w:r>
              <w:rPr>
                <w:rFonts w:ascii="Arial" w:hAnsi="Arial"/>
              </w:rPr>
              <w:t>Endoglin</w:t>
            </w:r>
            <w:proofErr w:type="spellEnd"/>
            <w:r>
              <w:rPr>
                <w:rFonts w:ascii="Arial" w:hAnsi="Arial"/>
              </w:rPr>
              <w:t xml:space="preserve"> (m</w:t>
            </w:r>
            <w:r w:rsidR="002E1793" w:rsidRPr="00103EA8">
              <w:rPr>
                <w:rFonts w:ascii="Arial" w:hAnsi="Arial"/>
              </w:rPr>
              <w:t>)</w:t>
            </w:r>
          </w:p>
        </w:tc>
        <w:tc>
          <w:tcPr>
            <w:tcW w:w="4050" w:type="dxa"/>
          </w:tcPr>
          <w:p w:rsidR="002E1793" w:rsidRPr="002E1793" w:rsidRDefault="002E1793" w:rsidP="00235083">
            <w:pPr>
              <w:rPr>
                <w:rFonts w:ascii="Arial" w:hAnsi="Arial"/>
                <w:sz w:val="22"/>
              </w:rPr>
            </w:pPr>
            <w:r w:rsidRPr="002E1793">
              <w:rPr>
                <w:rFonts w:ascii="Arial" w:hAnsi="Arial"/>
                <w:sz w:val="22"/>
              </w:rPr>
              <w:t>GTGTTCCTGGTCCTCGTTTC</w:t>
            </w:r>
          </w:p>
        </w:tc>
        <w:tc>
          <w:tcPr>
            <w:tcW w:w="4140" w:type="dxa"/>
          </w:tcPr>
          <w:p w:rsidR="002E1793" w:rsidRPr="002E1793" w:rsidRDefault="002E1793" w:rsidP="00235083">
            <w:pPr>
              <w:rPr>
                <w:rFonts w:ascii="Arial" w:hAnsi="Arial"/>
                <w:sz w:val="22"/>
              </w:rPr>
            </w:pPr>
            <w:r w:rsidRPr="002E1793">
              <w:rPr>
                <w:rFonts w:ascii="Arial" w:hAnsi="Arial"/>
                <w:sz w:val="22"/>
              </w:rPr>
              <w:t>GTGGTTGCCATTCAAGTGTG</w:t>
            </w:r>
          </w:p>
        </w:tc>
      </w:tr>
      <w:tr w:rsidR="002E1793" w:rsidRPr="002E1793" w:rsidTr="00834020">
        <w:tc>
          <w:tcPr>
            <w:tcW w:w="2052" w:type="dxa"/>
          </w:tcPr>
          <w:p w:rsidR="002E1793" w:rsidRPr="00103EA8" w:rsidRDefault="00103EA8" w:rsidP="00235083">
            <w:pPr>
              <w:rPr>
                <w:rFonts w:ascii="Arial" w:hAnsi="Arial"/>
              </w:rPr>
            </w:pPr>
            <w:r w:rsidRPr="00103EA8">
              <w:rPr>
                <w:rFonts w:ascii="Arial" w:hAnsi="Arial"/>
              </w:rPr>
              <w:t>HIF</w:t>
            </w:r>
            <w:r w:rsidR="002E1793" w:rsidRPr="00103EA8">
              <w:rPr>
                <w:rFonts w:ascii="Arial" w:hAnsi="Arial"/>
              </w:rPr>
              <w:t>1</w:t>
            </w:r>
            <w:r w:rsidR="002E1793" w:rsidRPr="002F6BC9">
              <w:rPr>
                <w:rFonts w:ascii="Times New Roman" w:hAnsi="Times New Roman" w:cs="Times New Roman"/>
              </w:rPr>
              <w:sym w:font="Symbol" w:char="F061"/>
            </w:r>
            <w:r w:rsidR="000C7002">
              <w:rPr>
                <w:rFonts w:ascii="Arial" w:hAnsi="Arial"/>
              </w:rPr>
              <w:t xml:space="preserve"> (m</w:t>
            </w:r>
            <w:r w:rsidR="002E1793" w:rsidRPr="00103EA8">
              <w:rPr>
                <w:rFonts w:ascii="Arial" w:hAnsi="Arial"/>
              </w:rPr>
              <w:t>)</w:t>
            </w:r>
          </w:p>
        </w:tc>
        <w:tc>
          <w:tcPr>
            <w:tcW w:w="4050" w:type="dxa"/>
          </w:tcPr>
          <w:p w:rsidR="002E1793" w:rsidRPr="002E1793" w:rsidRDefault="002E1793" w:rsidP="00235083">
            <w:pPr>
              <w:rPr>
                <w:rFonts w:ascii="Arial" w:hAnsi="Arial"/>
                <w:sz w:val="22"/>
              </w:rPr>
            </w:pPr>
            <w:r w:rsidRPr="002E1793">
              <w:rPr>
                <w:rFonts w:ascii="Arial" w:hAnsi="Arial"/>
                <w:sz w:val="22"/>
              </w:rPr>
              <w:t>GCACAGAAGCAAAGAACCCATTTTC</w:t>
            </w:r>
          </w:p>
        </w:tc>
        <w:tc>
          <w:tcPr>
            <w:tcW w:w="4140" w:type="dxa"/>
          </w:tcPr>
          <w:p w:rsidR="002E1793" w:rsidRPr="002E1793" w:rsidRDefault="002E1793" w:rsidP="00235083">
            <w:pPr>
              <w:rPr>
                <w:rFonts w:ascii="Arial" w:hAnsi="Arial"/>
                <w:sz w:val="22"/>
              </w:rPr>
            </w:pPr>
            <w:r w:rsidRPr="002E1793">
              <w:rPr>
                <w:rFonts w:ascii="Arial" w:hAnsi="Arial"/>
                <w:sz w:val="22"/>
              </w:rPr>
              <w:t>GGCAGTGGTAGTGGTGGCATTAG</w:t>
            </w:r>
          </w:p>
        </w:tc>
      </w:tr>
      <w:tr w:rsidR="002E1793" w:rsidRPr="002E1793" w:rsidTr="00834020">
        <w:tc>
          <w:tcPr>
            <w:tcW w:w="2052" w:type="dxa"/>
          </w:tcPr>
          <w:p w:rsidR="002E1793" w:rsidRPr="00103EA8" w:rsidRDefault="00103EA8" w:rsidP="00235083">
            <w:pPr>
              <w:rPr>
                <w:rFonts w:ascii="Arial" w:hAnsi="Arial"/>
              </w:rPr>
            </w:pPr>
            <w:r w:rsidRPr="00103EA8">
              <w:rPr>
                <w:rFonts w:ascii="Arial" w:hAnsi="Arial"/>
              </w:rPr>
              <w:t>HIF</w:t>
            </w:r>
            <w:r w:rsidR="002E1793" w:rsidRPr="00103EA8">
              <w:rPr>
                <w:rFonts w:ascii="Arial" w:hAnsi="Arial"/>
              </w:rPr>
              <w:t>1</w:t>
            </w:r>
            <w:r w:rsidR="002E1793" w:rsidRPr="002F6BC9">
              <w:rPr>
                <w:rFonts w:ascii="Times New Roman" w:hAnsi="Times New Roman" w:cs="Times New Roman"/>
              </w:rPr>
              <w:sym w:font="Symbol" w:char="F061"/>
            </w:r>
            <w:r w:rsidR="002E1793" w:rsidRPr="00103EA8">
              <w:rPr>
                <w:rFonts w:ascii="Arial" w:hAnsi="Arial"/>
              </w:rPr>
              <w:t xml:space="preserve"> (h)</w:t>
            </w:r>
          </w:p>
        </w:tc>
        <w:tc>
          <w:tcPr>
            <w:tcW w:w="4050" w:type="dxa"/>
          </w:tcPr>
          <w:p w:rsidR="002E1793" w:rsidRPr="002E1793" w:rsidRDefault="002E1793" w:rsidP="00235083">
            <w:pPr>
              <w:rPr>
                <w:rFonts w:ascii="Arial" w:hAnsi="Arial"/>
                <w:sz w:val="22"/>
              </w:rPr>
            </w:pPr>
            <w:r w:rsidRPr="002E1793">
              <w:rPr>
                <w:rFonts w:ascii="Arial" w:hAnsi="Arial"/>
                <w:sz w:val="22"/>
              </w:rPr>
              <w:t>TTACCTTCATCGGAAACTCCAAAGC</w:t>
            </w:r>
          </w:p>
        </w:tc>
        <w:tc>
          <w:tcPr>
            <w:tcW w:w="4140" w:type="dxa"/>
          </w:tcPr>
          <w:p w:rsidR="002E1793" w:rsidRPr="002E1793" w:rsidRDefault="002E1793" w:rsidP="00235083">
            <w:pPr>
              <w:rPr>
                <w:rFonts w:ascii="Arial" w:hAnsi="Arial"/>
                <w:sz w:val="22"/>
              </w:rPr>
            </w:pPr>
            <w:r w:rsidRPr="002E1793">
              <w:rPr>
                <w:rFonts w:ascii="Arial" w:hAnsi="Arial"/>
                <w:sz w:val="22"/>
              </w:rPr>
              <w:t>ACTGGGACTGTTAGGCTGGGAAAA</w:t>
            </w:r>
          </w:p>
        </w:tc>
      </w:tr>
      <w:tr w:rsidR="002E1793" w:rsidRPr="002E1793" w:rsidTr="00834020">
        <w:tc>
          <w:tcPr>
            <w:tcW w:w="2052" w:type="dxa"/>
          </w:tcPr>
          <w:p w:rsidR="002E1793" w:rsidRPr="00103EA8" w:rsidRDefault="002E1793" w:rsidP="00235083">
            <w:pPr>
              <w:rPr>
                <w:rFonts w:ascii="Arial" w:hAnsi="Arial"/>
              </w:rPr>
            </w:pPr>
            <w:proofErr w:type="spellStart"/>
            <w:r w:rsidRPr="00103EA8">
              <w:rPr>
                <w:rFonts w:ascii="Arial" w:hAnsi="Arial"/>
              </w:rPr>
              <w:t>Survivin</w:t>
            </w:r>
            <w:proofErr w:type="spellEnd"/>
          </w:p>
        </w:tc>
        <w:tc>
          <w:tcPr>
            <w:tcW w:w="4050" w:type="dxa"/>
          </w:tcPr>
          <w:p w:rsidR="002E1793" w:rsidRPr="002E1793" w:rsidRDefault="002E1793" w:rsidP="00235083">
            <w:pPr>
              <w:rPr>
                <w:rFonts w:ascii="Arial" w:hAnsi="Arial"/>
                <w:sz w:val="22"/>
              </w:rPr>
            </w:pPr>
            <w:r w:rsidRPr="002E1793">
              <w:rPr>
                <w:rFonts w:ascii="Arial" w:hAnsi="Arial"/>
                <w:sz w:val="22"/>
              </w:rPr>
              <w:t>GCTTCATCCACTGCCCCACTGAG</w:t>
            </w:r>
          </w:p>
        </w:tc>
        <w:tc>
          <w:tcPr>
            <w:tcW w:w="4140" w:type="dxa"/>
          </w:tcPr>
          <w:p w:rsidR="002E1793" w:rsidRPr="002E1793" w:rsidRDefault="002E1793" w:rsidP="00235083">
            <w:pPr>
              <w:rPr>
                <w:rFonts w:ascii="Arial" w:hAnsi="Arial"/>
                <w:sz w:val="22"/>
              </w:rPr>
            </w:pPr>
            <w:r w:rsidRPr="002E1793">
              <w:rPr>
                <w:rFonts w:ascii="Arial" w:hAnsi="Arial"/>
                <w:sz w:val="22"/>
              </w:rPr>
              <w:t>TTTTGTTCTTGGCTCTTTCTCTGTCC</w:t>
            </w:r>
          </w:p>
        </w:tc>
      </w:tr>
      <w:tr w:rsidR="002E1793" w:rsidRPr="002E1793" w:rsidTr="00834020">
        <w:tc>
          <w:tcPr>
            <w:tcW w:w="2052" w:type="dxa"/>
          </w:tcPr>
          <w:p w:rsidR="002E1793" w:rsidRPr="00103EA8" w:rsidRDefault="000C7002" w:rsidP="00235083">
            <w:pPr>
              <w:rPr>
                <w:rFonts w:ascii="Arial" w:hAnsi="Arial"/>
              </w:rPr>
            </w:pPr>
            <w:proofErr w:type="spellStart"/>
            <w:r>
              <w:rPr>
                <w:rFonts w:ascii="Arial" w:hAnsi="Arial"/>
              </w:rPr>
              <w:t>c</w:t>
            </w:r>
            <w:r w:rsidR="002E1793" w:rsidRPr="00103EA8">
              <w:rPr>
                <w:rFonts w:ascii="Arial" w:hAnsi="Arial"/>
              </w:rPr>
              <w:t>Myc</w:t>
            </w:r>
            <w:proofErr w:type="spellEnd"/>
          </w:p>
        </w:tc>
        <w:tc>
          <w:tcPr>
            <w:tcW w:w="4050" w:type="dxa"/>
          </w:tcPr>
          <w:p w:rsidR="002E1793" w:rsidRPr="002E1793" w:rsidRDefault="002E1793" w:rsidP="00235083">
            <w:pPr>
              <w:rPr>
                <w:rFonts w:ascii="Arial" w:hAnsi="Arial"/>
                <w:sz w:val="22"/>
              </w:rPr>
            </w:pPr>
            <w:r w:rsidRPr="002E1793">
              <w:rPr>
                <w:rFonts w:ascii="Arial" w:hAnsi="Arial"/>
                <w:sz w:val="22"/>
              </w:rPr>
              <w:t>CACTGGAACTTACAACACCCGAGC</w:t>
            </w:r>
          </w:p>
        </w:tc>
        <w:tc>
          <w:tcPr>
            <w:tcW w:w="4140" w:type="dxa"/>
          </w:tcPr>
          <w:p w:rsidR="002E1793" w:rsidRPr="002E1793" w:rsidRDefault="002E1793" w:rsidP="00235083">
            <w:pPr>
              <w:rPr>
                <w:rFonts w:ascii="Arial" w:hAnsi="Arial"/>
                <w:sz w:val="22"/>
              </w:rPr>
            </w:pPr>
            <w:r w:rsidRPr="002E1793">
              <w:rPr>
                <w:rFonts w:ascii="Arial" w:hAnsi="Arial"/>
                <w:sz w:val="22"/>
              </w:rPr>
              <w:t>ACCGAGTCGTAGTCGAGGTCATAG</w:t>
            </w:r>
          </w:p>
        </w:tc>
      </w:tr>
      <w:tr w:rsidR="002E1793" w:rsidRPr="002E1793" w:rsidTr="00834020">
        <w:tc>
          <w:tcPr>
            <w:tcW w:w="2052" w:type="dxa"/>
          </w:tcPr>
          <w:p w:rsidR="002E1793" w:rsidRPr="00103EA8" w:rsidRDefault="002E1793" w:rsidP="00235083">
            <w:pPr>
              <w:rPr>
                <w:rFonts w:ascii="Arial" w:hAnsi="Arial"/>
              </w:rPr>
            </w:pPr>
            <w:r w:rsidRPr="00103EA8">
              <w:rPr>
                <w:rFonts w:ascii="Arial" w:hAnsi="Arial"/>
              </w:rPr>
              <w:t>RPL13a</w:t>
            </w:r>
          </w:p>
        </w:tc>
        <w:tc>
          <w:tcPr>
            <w:tcW w:w="4050" w:type="dxa"/>
          </w:tcPr>
          <w:p w:rsidR="002E1793" w:rsidRPr="002E1793" w:rsidRDefault="002E1793" w:rsidP="00235083">
            <w:pPr>
              <w:rPr>
                <w:rFonts w:ascii="Arial" w:hAnsi="Arial"/>
              </w:rPr>
            </w:pPr>
            <w:r w:rsidRPr="002E1793">
              <w:rPr>
                <w:rFonts w:ascii="Arial" w:hAnsi="Arial"/>
                <w:sz w:val="22"/>
              </w:rPr>
              <w:t>CCTGGAGGAGAAGAGGAAAGAG</w:t>
            </w:r>
          </w:p>
        </w:tc>
        <w:tc>
          <w:tcPr>
            <w:tcW w:w="4140" w:type="dxa"/>
          </w:tcPr>
          <w:p w:rsidR="002E1793" w:rsidRPr="002E1793" w:rsidRDefault="002E1793" w:rsidP="00235083">
            <w:pPr>
              <w:rPr>
                <w:rFonts w:ascii="Arial" w:hAnsi="Arial"/>
              </w:rPr>
            </w:pPr>
            <w:r w:rsidRPr="002E1793">
              <w:rPr>
                <w:rFonts w:ascii="Arial" w:hAnsi="Arial"/>
                <w:sz w:val="22"/>
              </w:rPr>
              <w:t>TTGAGGACCTCTGTGTATTTGTCAA</w:t>
            </w:r>
          </w:p>
        </w:tc>
      </w:tr>
    </w:tbl>
    <w:p w:rsidR="002E1793" w:rsidRPr="00304655" w:rsidRDefault="002E1793" w:rsidP="00235083">
      <w:pPr>
        <w:jc w:val="both"/>
        <w:rPr>
          <w:rFonts w:ascii="Arial" w:hAnsi="Arial" w:cs="Arial"/>
          <w:b/>
          <w:color w:val="191919"/>
          <w:sz w:val="22"/>
          <w:szCs w:val="22"/>
        </w:rPr>
      </w:pPr>
    </w:p>
    <w:p w:rsidR="002E1793" w:rsidRDefault="002E1793" w:rsidP="00235083">
      <w:pPr>
        <w:rPr>
          <w:rFonts w:ascii="Arial" w:hAnsi="Arial"/>
          <w:sz w:val="22"/>
        </w:rPr>
      </w:pPr>
    </w:p>
    <w:p w:rsidR="002E1793" w:rsidRPr="002E1793" w:rsidRDefault="002E1793" w:rsidP="00235083">
      <w:pPr>
        <w:rPr>
          <w:rFonts w:ascii="Arial" w:hAnsi="Arial"/>
          <w:sz w:val="22"/>
        </w:rPr>
      </w:pPr>
    </w:p>
    <w:p w:rsidR="002E1793" w:rsidRPr="002E1793" w:rsidRDefault="002E1793" w:rsidP="00235083">
      <w:pPr>
        <w:rPr>
          <w:rFonts w:ascii="Arial" w:hAnsi="Arial"/>
          <w:sz w:val="22"/>
        </w:rPr>
      </w:pPr>
    </w:p>
    <w:p w:rsidR="002E1793" w:rsidRPr="002E1793" w:rsidRDefault="002E1793" w:rsidP="00235083">
      <w:pPr>
        <w:rPr>
          <w:rFonts w:ascii="Arial" w:hAnsi="Arial"/>
          <w:sz w:val="22"/>
        </w:rPr>
      </w:pPr>
    </w:p>
    <w:p w:rsidR="000630B2" w:rsidRDefault="000630B2" w:rsidP="00235083">
      <w:pPr>
        <w:rPr>
          <w:rFonts w:ascii="Arial" w:hAnsi="Arial"/>
        </w:rPr>
      </w:pPr>
    </w:p>
    <w:p w:rsidR="000630B2" w:rsidRDefault="000630B2" w:rsidP="00235083">
      <w:pPr>
        <w:rPr>
          <w:rFonts w:ascii="Arial" w:hAnsi="Arial"/>
        </w:rPr>
      </w:pPr>
    </w:p>
    <w:sectPr w:rsidR="000630B2" w:rsidSect="00AC7662">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9ap2dpwdetvs2eswfs5vwt8defe5x2f2aef&quot;&gt;cabozantinib&lt;record-ids&gt;&lt;item&gt;61&lt;/item&gt;&lt;/record-ids&gt;&lt;/item&gt;&lt;/Libraries&gt;"/>
  </w:docVars>
  <w:rsids>
    <w:rsidRoot w:val="00EC5BFE"/>
    <w:rsid w:val="00040196"/>
    <w:rsid w:val="000630B2"/>
    <w:rsid w:val="000B0157"/>
    <w:rsid w:val="000C7002"/>
    <w:rsid w:val="00103EA8"/>
    <w:rsid w:val="00107C9A"/>
    <w:rsid w:val="001170BD"/>
    <w:rsid w:val="00162275"/>
    <w:rsid w:val="001926D1"/>
    <w:rsid w:val="002344EF"/>
    <w:rsid w:val="00235083"/>
    <w:rsid w:val="002E1793"/>
    <w:rsid w:val="002F6BC9"/>
    <w:rsid w:val="00345917"/>
    <w:rsid w:val="00481593"/>
    <w:rsid w:val="00496F19"/>
    <w:rsid w:val="005A2545"/>
    <w:rsid w:val="005C288B"/>
    <w:rsid w:val="00654F2E"/>
    <w:rsid w:val="00673B0B"/>
    <w:rsid w:val="006E4849"/>
    <w:rsid w:val="007601BF"/>
    <w:rsid w:val="007831B8"/>
    <w:rsid w:val="00784174"/>
    <w:rsid w:val="00812E45"/>
    <w:rsid w:val="00834020"/>
    <w:rsid w:val="00937614"/>
    <w:rsid w:val="009C6B0C"/>
    <w:rsid w:val="00A34B0A"/>
    <w:rsid w:val="00A87AF5"/>
    <w:rsid w:val="00AA0B93"/>
    <w:rsid w:val="00AC58E6"/>
    <w:rsid w:val="00AC7662"/>
    <w:rsid w:val="00AE562B"/>
    <w:rsid w:val="00BA547B"/>
    <w:rsid w:val="00BB3137"/>
    <w:rsid w:val="00C01EF4"/>
    <w:rsid w:val="00C55349"/>
    <w:rsid w:val="00C83FA7"/>
    <w:rsid w:val="00CA5FFD"/>
    <w:rsid w:val="00CC248C"/>
    <w:rsid w:val="00CC6433"/>
    <w:rsid w:val="00D217DE"/>
    <w:rsid w:val="00D3404A"/>
    <w:rsid w:val="00DB3B2F"/>
    <w:rsid w:val="00E3774A"/>
    <w:rsid w:val="00EC5BFE"/>
    <w:rsid w:val="00ED7E9C"/>
    <w:rsid w:val="00F01477"/>
    <w:rsid w:val="00F1486E"/>
    <w:rsid w:val="00F30A3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7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5B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630B2"/>
    <w:rPr>
      <w:color w:val="0000FF" w:themeColor="hyperlink"/>
      <w:u w:val="single"/>
    </w:rPr>
  </w:style>
  <w:style w:type="paragraph" w:styleId="BalloonText">
    <w:name w:val="Balloon Text"/>
    <w:basedOn w:val="Normal"/>
    <w:link w:val="BalloonTextChar"/>
    <w:uiPriority w:val="99"/>
    <w:semiHidden/>
    <w:unhideWhenUsed/>
    <w:rsid w:val="002344EF"/>
    <w:rPr>
      <w:rFonts w:ascii="Tahoma" w:hAnsi="Tahoma" w:cs="Tahoma"/>
      <w:sz w:val="16"/>
      <w:szCs w:val="16"/>
    </w:rPr>
  </w:style>
  <w:style w:type="character" w:customStyle="1" w:styleId="BalloonTextChar">
    <w:name w:val="Balloon Text Char"/>
    <w:basedOn w:val="DefaultParagraphFont"/>
    <w:link w:val="BalloonText"/>
    <w:uiPriority w:val="99"/>
    <w:semiHidden/>
    <w:rsid w:val="002344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wmf"/><Relationship Id="rId18" Type="http://schemas.openxmlformats.org/officeDocument/2006/relationships/oleObject" Target="embeddings/oleObject6.bin"/><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oleObject" Target="embeddings/oleObject2.bin"/><Relationship Id="rId12" Type="http://schemas.openxmlformats.org/officeDocument/2006/relationships/image" Target="media/image6.png"/><Relationship Id="rId17" Type="http://schemas.openxmlformats.org/officeDocument/2006/relationships/image" Target="media/image9.wmf"/><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oleObject" Target="embeddings/oleObject1.bin"/><Relationship Id="rId15" Type="http://schemas.openxmlformats.org/officeDocument/2006/relationships/image" Target="media/image8.wmf"/><Relationship Id="rId23" Type="http://schemas.microsoft.com/office/2007/relationships/stylesWithEffects" Target="stylesWithEffects.xml"/><Relationship Id="rId10" Type="http://schemas.openxmlformats.org/officeDocument/2006/relationships/image" Target="media/image5.wmf"/><Relationship Id="rId19" Type="http://schemas.openxmlformats.org/officeDocument/2006/relationships/image" Target="media/image10.wmf"/><Relationship Id="rId4" Type="http://schemas.openxmlformats.org/officeDocument/2006/relationships/image" Target="media/image1.wmf"/><Relationship Id="rId9" Type="http://schemas.openxmlformats.org/officeDocument/2006/relationships/image" Target="media/image4.png"/><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Eva Corey</cp:lastModifiedBy>
  <cp:revision>3</cp:revision>
  <dcterms:created xsi:type="dcterms:W3CDTF">2013-10-02T20:21:00Z</dcterms:created>
  <dcterms:modified xsi:type="dcterms:W3CDTF">2013-10-02T20:40:00Z</dcterms:modified>
</cp:coreProperties>
</file>