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E1DC2" w14:textId="77777777" w:rsidR="00485A91" w:rsidRDefault="00485A91" w:rsidP="00EB345A">
      <w:pPr>
        <w:rPr>
          <w:rFonts w:asciiTheme="majorHAnsi" w:eastAsiaTheme="majorEastAsia" w:hAnsiTheme="majorHAnsi" w:cstheme="majorBidi"/>
          <w:spacing w:val="5"/>
          <w:kern w:val="28"/>
          <w:sz w:val="36"/>
          <w:szCs w:val="52"/>
        </w:rPr>
      </w:pPr>
      <w:r w:rsidRPr="00485A91">
        <w:rPr>
          <w:rFonts w:asciiTheme="majorHAnsi" w:eastAsiaTheme="majorEastAsia" w:hAnsiTheme="majorHAnsi" w:cstheme="majorBidi"/>
          <w:spacing w:val="5"/>
          <w:kern w:val="28"/>
          <w:sz w:val="36"/>
          <w:szCs w:val="52"/>
        </w:rPr>
        <w:t>Appendix S2 Factors affecting detectability of overmortality</w:t>
      </w:r>
    </w:p>
    <w:p w14:paraId="36C597CA" w14:textId="688857DE" w:rsidR="00EB345A" w:rsidRPr="003129E5" w:rsidRDefault="000F76B8" w:rsidP="00EB345A">
      <w:pPr>
        <w:rPr>
          <w:rFonts w:asciiTheme="majorHAnsi" w:hAnsiTheme="majorHAnsi"/>
          <w:sz w:val="28"/>
        </w:rPr>
      </w:pPr>
      <w:r w:rsidRPr="003129E5">
        <w:rPr>
          <w:rFonts w:asciiTheme="majorHAnsi" w:hAnsiTheme="majorHAnsi"/>
          <w:sz w:val="28"/>
        </w:rPr>
        <w:t>Confronting uncertainty in wildlife management: perform</w:t>
      </w:r>
      <w:r w:rsidR="00937F81">
        <w:rPr>
          <w:rFonts w:asciiTheme="majorHAnsi" w:hAnsiTheme="majorHAnsi"/>
          <w:sz w:val="28"/>
        </w:rPr>
        <w:t>ance of grizzly bear management</w:t>
      </w:r>
    </w:p>
    <w:p w14:paraId="555CF786" w14:textId="77777777" w:rsidR="00EB345A" w:rsidRPr="00593B9B" w:rsidRDefault="00EB345A" w:rsidP="00EB345A">
      <w:r w:rsidRPr="00593B9B">
        <w:t xml:space="preserve">Kyle </w:t>
      </w:r>
      <w:r>
        <w:t xml:space="preserve">A. </w:t>
      </w:r>
      <w:r w:rsidRPr="00593B9B">
        <w:t>Artelle</w:t>
      </w:r>
      <w:r>
        <w:rPr>
          <w:vertAlign w:val="superscript"/>
        </w:rPr>
        <w:t>1, 2</w:t>
      </w:r>
      <w:r>
        <w:t>,</w:t>
      </w:r>
      <w:r w:rsidRPr="00593B9B">
        <w:t xml:space="preserve"> Sean </w:t>
      </w:r>
      <w:r>
        <w:t xml:space="preserve">C. </w:t>
      </w:r>
      <w:r w:rsidRPr="00593B9B">
        <w:t>Anderson</w:t>
      </w:r>
      <w:r w:rsidRPr="00593B9B">
        <w:rPr>
          <w:vertAlign w:val="superscript"/>
        </w:rPr>
        <w:t>1</w:t>
      </w:r>
      <w:r w:rsidRPr="00593B9B">
        <w:t xml:space="preserve">, </w:t>
      </w:r>
      <w:r>
        <w:t>Andrew B. Cooper</w:t>
      </w:r>
      <w:r>
        <w:rPr>
          <w:vertAlign w:val="superscript"/>
        </w:rPr>
        <w:t>3</w:t>
      </w:r>
      <w:r>
        <w:t>,</w:t>
      </w:r>
      <w:r w:rsidRPr="00593B9B">
        <w:t xml:space="preserve"> </w:t>
      </w:r>
      <w:r>
        <w:t>Paul C. Paquet</w:t>
      </w:r>
      <w:r>
        <w:rPr>
          <w:vertAlign w:val="superscript"/>
        </w:rPr>
        <w:t>2, 4</w:t>
      </w:r>
      <w:r>
        <w:t>, John D. Reynolds</w:t>
      </w:r>
      <w:r>
        <w:rPr>
          <w:vertAlign w:val="superscript"/>
        </w:rPr>
        <w:t>1</w:t>
      </w:r>
      <w:r>
        <w:t xml:space="preserve">, </w:t>
      </w:r>
      <w:r w:rsidRPr="00593B9B">
        <w:t xml:space="preserve">Chris </w:t>
      </w:r>
      <w:r>
        <w:t xml:space="preserve">T. </w:t>
      </w:r>
      <w:r w:rsidRPr="00593B9B">
        <w:t>Darimont</w:t>
      </w:r>
      <w:r w:rsidRPr="00593B9B">
        <w:rPr>
          <w:vertAlign w:val="superscript"/>
        </w:rPr>
        <w:t xml:space="preserve">2, </w:t>
      </w:r>
      <w:r>
        <w:rPr>
          <w:vertAlign w:val="superscript"/>
        </w:rPr>
        <w:t>4</w:t>
      </w:r>
    </w:p>
    <w:p w14:paraId="6A90B308" w14:textId="77777777" w:rsidR="00EB345A" w:rsidRPr="00593B9B" w:rsidRDefault="00EB345A" w:rsidP="00EB345A">
      <w:r w:rsidRPr="00593B9B">
        <w:t xml:space="preserve">1. </w:t>
      </w:r>
      <w:r w:rsidRPr="00BC7E65">
        <w:t>Earth to Ocean Research Group, Department of Biological Sciences, Simon Fraser University, Burnaby, BC, V5A 1S6, Canada</w:t>
      </w:r>
    </w:p>
    <w:p w14:paraId="4C313490" w14:textId="77777777" w:rsidR="00EB345A" w:rsidRPr="00593B9B" w:rsidRDefault="00EB345A" w:rsidP="00EB345A">
      <w:r w:rsidRPr="00593B9B">
        <w:t>2.  Raincoast Conservation Foundation</w:t>
      </w:r>
      <w:r>
        <w:t xml:space="preserve">, Sidney, BC, </w:t>
      </w:r>
      <w:r w:rsidRPr="004874C0">
        <w:t>V8L 1Y2</w:t>
      </w:r>
      <w:r>
        <w:t>, Canada</w:t>
      </w:r>
    </w:p>
    <w:p w14:paraId="16BA5F6B" w14:textId="77777777" w:rsidR="00EB345A" w:rsidRDefault="00EB345A" w:rsidP="00EB345A">
      <w:r>
        <w:t xml:space="preserve">3.  </w:t>
      </w:r>
      <w:r w:rsidRPr="00BC7E65">
        <w:t>School of Resource and Environmental Management, Simon Fraser University, Burnaby, BC, V5A 1S6, Canada</w:t>
      </w:r>
    </w:p>
    <w:p w14:paraId="06EB3CF4" w14:textId="77777777" w:rsidR="00430DA1" w:rsidRPr="003129E5" w:rsidRDefault="00EB345A">
      <w:r>
        <w:t>4</w:t>
      </w:r>
      <w:r w:rsidRPr="00593B9B">
        <w:t xml:space="preserve">.  </w:t>
      </w:r>
      <w:r>
        <w:t xml:space="preserve">Department of Geography, </w:t>
      </w:r>
      <w:r w:rsidRPr="00593B9B">
        <w:t>University of Victoria</w:t>
      </w:r>
      <w:r>
        <w:t>, Victoria, BC, V8P 5C2, Canada</w:t>
      </w:r>
    </w:p>
    <w:p w14:paraId="741FD508" w14:textId="77777777" w:rsidR="00485A91" w:rsidRDefault="00485A91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Ref349641212"/>
      <w:r>
        <w:br w:type="page"/>
      </w:r>
    </w:p>
    <w:p w14:paraId="43478170" w14:textId="0A3C712C" w:rsidR="00EB345A" w:rsidRDefault="00485A91" w:rsidP="00485A91">
      <w:pPr>
        <w:pStyle w:val="Heading1"/>
        <w:spacing w:line="360" w:lineRule="auto"/>
      </w:pPr>
      <w:r>
        <w:lastRenderedPageBreak/>
        <w:t xml:space="preserve">Appendix S2 </w:t>
      </w:r>
      <w:r w:rsidR="00E6538C">
        <w:tab/>
      </w:r>
      <w:bookmarkStart w:id="1" w:name="_GoBack"/>
      <w:bookmarkEnd w:id="1"/>
      <w:r w:rsidR="00EB345A" w:rsidRPr="001058C5">
        <w:t xml:space="preserve">Factors affecting </w:t>
      </w:r>
      <w:r w:rsidR="00EB345A">
        <w:t>detectability of overmortality</w:t>
      </w:r>
      <w:bookmarkEnd w:id="0"/>
    </w:p>
    <w:p w14:paraId="293D6F45" w14:textId="77777777" w:rsidR="008D7E43" w:rsidRDefault="008D7E43" w:rsidP="00347ADD">
      <w:pPr>
        <w:spacing w:after="0" w:line="360" w:lineRule="auto"/>
      </w:pPr>
    </w:p>
    <w:p w14:paraId="34E26BC8" w14:textId="1A5EDB2F" w:rsidR="009D04AF" w:rsidRDefault="00EB345A" w:rsidP="00347ADD">
      <w:pPr>
        <w:spacing w:after="0" w:line="360" w:lineRule="auto"/>
      </w:pPr>
      <w:r>
        <w:t xml:space="preserve">The </w:t>
      </w:r>
      <w:r w:rsidR="00D74E06">
        <w:t>government</w:t>
      </w:r>
      <w:r>
        <w:t xml:space="preserve"> tests for overmortality events by comparing calculated mortality limits to recorded (</w:t>
      </w:r>
      <w:r w:rsidRPr="00D74E06">
        <w:rPr>
          <w:i/>
        </w:rPr>
        <w:t>i.e.,</w:t>
      </w:r>
      <w:r>
        <w:t xml:space="preserve"> actual) mortality. As such, </w:t>
      </w:r>
      <w:r w:rsidR="00301139">
        <w:t>detected frequency of overmortalities</w:t>
      </w:r>
      <w:r>
        <w:t xml:space="preserve"> can be affected by changes to recorded mortality rates or, </w:t>
      </w:r>
      <w:r w:rsidR="00D74E06">
        <w:t xml:space="preserve">importantly, by changes to how </w:t>
      </w:r>
      <w:r>
        <w:t>mortality limits are calculated (</w:t>
      </w:r>
      <w:r w:rsidR="00D74E06">
        <w:t>Eq 1 and Eq 2</w:t>
      </w:r>
      <w:r w:rsidR="0017598B">
        <w:t>)</w:t>
      </w:r>
      <w:r>
        <w:t>.  Additionally, the temporal scale at which these comparisons are made can affect results</w:t>
      </w:r>
      <w:r w:rsidR="00C55D6E">
        <w:t>.  Specifically,</w:t>
      </w:r>
      <w:r>
        <w:t xml:space="preserve"> longer periods might </w:t>
      </w:r>
      <w:r w:rsidR="00C55D6E">
        <w:t xml:space="preserve">conceal </w:t>
      </w:r>
      <w:r>
        <w:t xml:space="preserve">overmortality events </w:t>
      </w:r>
      <w:r w:rsidR="00E35147">
        <w:t xml:space="preserve">that occur </w:t>
      </w:r>
      <w:r>
        <w:t xml:space="preserve">over shorter periods. </w:t>
      </w:r>
      <w:r w:rsidR="007D609E">
        <w:t xml:space="preserve"> </w:t>
      </w:r>
      <w:r>
        <w:t xml:space="preserve">Accordingly, we examined two aspects that could influence detectability of overmortality events.  </w:t>
      </w:r>
    </w:p>
    <w:p w14:paraId="6D4D9698" w14:textId="77777777" w:rsidR="009D04AF" w:rsidRDefault="009D04AF" w:rsidP="00347ADD">
      <w:pPr>
        <w:spacing w:after="0" w:line="360" w:lineRule="auto"/>
      </w:pPr>
    </w:p>
    <w:p w14:paraId="5497353C" w14:textId="53767E2C" w:rsidR="00EB345A" w:rsidRDefault="00EB345A" w:rsidP="00347ADD">
      <w:pPr>
        <w:spacing w:after="0" w:line="360" w:lineRule="auto"/>
      </w:pPr>
      <w:r>
        <w:t xml:space="preserve">First, we examined the </w:t>
      </w:r>
      <w:r w:rsidR="009D04AF">
        <w:t xml:space="preserve">distribution of AAM estimates, unreported mortality estimates, </w:t>
      </w:r>
      <w:r>
        <w:t>uncertainty correction</w:t>
      </w:r>
      <w:r w:rsidR="002D3749">
        <w:t xml:space="preserve"> factors</w:t>
      </w:r>
      <w:r w:rsidR="009D04AF">
        <w:t>, and total mortalit</w:t>
      </w:r>
      <w:r w:rsidR="0061647C">
        <w:t>y limits</w:t>
      </w:r>
      <w:r w:rsidR="009D04AF">
        <w:t xml:space="preserve"> across allocation periods</w:t>
      </w:r>
      <w:r>
        <w:t>.</w:t>
      </w:r>
      <w:r w:rsidR="0061457F">
        <w:t xml:space="preserve">  </w:t>
      </w:r>
      <w:r>
        <w:t xml:space="preserve">Second, we tested the effect of allocation period length on detectability of overmortality events.  </w:t>
      </w:r>
      <w:r w:rsidR="001F792A">
        <w:t>W</w:t>
      </w:r>
      <w:r w:rsidR="00FC55A4">
        <w:t>e</w:t>
      </w:r>
      <w:r>
        <w:t xml:space="preserve"> compared </w:t>
      </w:r>
      <w:r w:rsidR="000C5509">
        <w:t xml:space="preserve">period overmortality to </w:t>
      </w:r>
      <w:r w:rsidRPr="00996B6E">
        <w:t>average yearly overmortality</w:t>
      </w:r>
      <w:r w:rsidRPr="001B2245">
        <w:t>.</w:t>
      </w:r>
      <w:r>
        <w:t xml:space="preserve">  </w:t>
      </w:r>
      <w:r w:rsidRPr="00D71912">
        <w:rPr>
          <w:b/>
        </w:rPr>
        <w:t>Period overmortality</w:t>
      </w:r>
      <w:r>
        <w:t xml:space="preserve"> was the number of overmortalities in a given period.  </w:t>
      </w:r>
      <w:r w:rsidRPr="0088535F">
        <w:rPr>
          <w:b/>
        </w:rPr>
        <w:t>Yearly overmortality</w:t>
      </w:r>
      <w:r>
        <w:rPr>
          <w:b/>
        </w:rPr>
        <w:t xml:space="preserve"> </w:t>
      </w:r>
      <w:r>
        <w:t xml:space="preserve">was assessed by comparing </w:t>
      </w:r>
      <w:r w:rsidRPr="00D74E06">
        <w:rPr>
          <w:i/>
        </w:rPr>
        <w:t>annual</w:t>
      </w:r>
      <w:r>
        <w:t xml:space="preserve"> mortality limits (period limit divided by period length) to </w:t>
      </w:r>
      <w:r w:rsidR="00D74E06">
        <w:rPr>
          <w:i/>
        </w:rPr>
        <w:t xml:space="preserve">annual </w:t>
      </w:r>
      <w:r w:rsidR="0061647C">
        <w:t xml:space="preserve">known </w:t>
      </w:r>
      <w:r w:rsidR="000C5509">
        <w:t xml:space="preserve">mortality for </w:t>
      </w:r>
      <w:r w:rsidR="00575F48">
        <w:t>population unit</w:t>
      </w:r>
      <w:r w:rsidR="000C5509">
        <w:t>.  For each period</w:t>
      </w:r>
      <w:r w:rsidR="00C47E95">
        <w:t>,</w:t>
      </w:r>
      <w:r w:rsidR="000C5509">
        <w:t xml:space="preserve"> we also compared counts of how many </w:t>
      </w:r>
      <w:r w:rsidR="00575F48">
        <w:t>population unit</w:t>
      </w:r>
      <w:r w:rsidR="000C5509">
        <w:t xml:space="preserve">s experienced a period overmortality to counts of how many </w:t>
      </w:r>
      <w:r w:rsidR="00575F48">
        <w:t>population unit</w:t>
      </w:r>
      <w:r w:rsidR="000C5509">
        <w:t>s experienced at least one yearly overmortality.</w:t>
      </w:r>
    </w:p>
    <w:p w14:paraId="47E22DEA" w14:textId="77777777" w:rsidR="00EB345A" w:rsidRDefault="00EB345A" w:rsidP="00347ADD">
      <w:pPr>
        <w:spacing w:after="0" w:line="360" w:lineRule="auto"/>
      </w:pPr>
    </w:p>
    <w:p w14:paraId="4B085228" w14:textId="63329468" w:rsidR="005A5768" w:rsidRDefault="0017598B" w:rsidP="00347ADD">
      <w:pPr>
        <w:spacing w:after="0" w:line="360" w:lineRule="auto"/>
      </w:pPr>
      <w:r>
        <w:t>D</w:t>
      </w:r>
      <w:r w:rsidR="00EB345A">
        <w:t xml:space="preserve">etection of overmortality events was </w:t>
      </w:r>
      <w:r>
        <w:t xml:space="preserve">likely </w:t>
      </w:r>
      <w:r w:rsidR="00EB345A">
        <w:t xml:space="preserve">influenced by harvest management procedures that differed among periods.  </w:t>
      </w:r>
      <w:r w:rsidR="00726C53">
        <w:t>W</w:t>
      </w:r>
      <w:r w:rsidR="00EB345A">
        <w:t>e found that</w:t>
      </w:r>
      <w:r w:rsidR="00C55D6E">
        <w:t>: i)</w:t>
      </w:r>
      <w:r w:rsidR="001F792A">
        <w:t xml:space="preserve"> AAM estimates increased across periods (</w:t>
      </w:r>
      <w:r w:rsidR="00DA6BD6" w:rsidRPr="00DA6BD6">
        <w:fldChar w:fldCharType="begin"/>
      </w:r>
      <w:r w:rsidR="00DA6BD6" w:rsidRPr="00DA6BD6">
        <w:instrText xml:space="preserve"> REF _Ref350689065 \h  \* MERGEFORMAT </w:instrText>
      </w:r>
      <w:r w:rsidR="00DA6BD6" w:rsidRPr="00DA6BD6">
        <w:fldChar w:fldCharType="separate"/>
      </w:r>
      <w:r w:rsidR="004D232A" w:rsidRPr="004D232A">
        <w:t xml:space="preserve">Appendix S2 Figure </w:t>
      </w:r>
      <w:r w:rsidR="004D232A" w:rsidRPr="004D232A">
        <w:rPr>
          <w:noProof/>
        </w:rPr>
        <w:t>1</w:t>
      </w:r>
      <w:r w:rsidR="00DA6BD6" w:rsidRPr="00DA6BD6">
        <w:fldChar w:fldCharType="end"/>
      </w:r>
      <w:r w:rsidR="001F792A">
        <w:t xml:space="preserve">, </w:t>
      </w:r>
      <w:r w:rsidR="00C55D6E">
        <w:t xml:space="preserve">ii) </w:t>
      </w:r>
      <w:r w:rsidR="001F792A">
        <w:t>estimates of unreported mortality decreased between 2001-2003 and subsequent periods (</w:t>
      </w:r>
      <w:r w:rsidR="00DA6BD6" w:rsidRPr="00AB00CF">
        <w:fldChar w:fldCharType="begin"/>
      </w:r>
      <w:r w:rsidR="00DA6BD6" w:rsidRPr="00AB00CF">
        <w:instrText xml:space="preserve"> REF _Ref350689090 \h </w:instrText>
      </w:r>
      <w:r w:rsidR="00AB00CF" w:rsidRPr="00AB00CF">
        <w:instrText xml:space="preserve"> \* MERGEFORMAT </w:instrText>
      </w:r>
      <w:r w:rsidR="00DA6BD6" w:rsidRPr="00AB00CF">
        <w:fldChar w:fldCharType="separate"/>
      </w:r>
      <w:r w:rsidR="004D232A" w:rsidRPr="004D232A">
        <w:t xml:space="preserve">Appendix S2 Figure </w:t>
      </w:r>
      <w:r w:rsidR="004D232A" w:rsidRPr="004D232A">
        <w:rPr>
          <w:noProof/>
        </w:rPr>
        <w:t>2</w:t>
      </w:r>
      <w:r w:rsidR="00DA6BD6" w:rsidRPr="00AB00CF">
        <w:fldChar w:fldCharType="end"/>
      </w:r>
      <w:r w:rsidR="001F792A">
        <w:t>)</w:t>
      </w:r>
      <w:r w:rsidR="00C55D6E">
        <w:t xml:space="preserve"> and</w:t>
      </w:r>
      <w:r w:rsidR="001F792A">
        <w:t xml:space="preserve">, </w:t>
      </w:r>
      <w:r w:rsidR="00C55D6E">
        <w:t xml:space="preserve">iii) </w:t>
      </w:r>
      <w:r w:rsidR="001F792A">
        <w:t>uncertainty correction</w:t>
      </w:r>
      <w:r w:rsidR="002D3749">
        <w:t xml:space="preserve"> factor</w:t>
      </w:r>
      <w:r w:rsidR="001F792A">
        <w:t>s, i</w:t>
      </w:r>
      <w:r w:rsidR="00EB345A">
        <w:t>ntroduced in period 2, were considerably reduced in period 3 (</w:t>
      </w:r>
      <w:r w:rsidR="00AB00CF" w:rsidRPr="00AB00CF">
        <w:rPr>
          <w:highlight w:val="yellow"/>
        </w:rPr>
        <w:fldChar w:fldCharType="begin"/>
      </w:r>
      <w:r w:rsidR="00AB00CF" w:rsidRPr="00AB00CF">
        <w:instrText xml:space="preserve"> REF _Ref350689110 \h </w:instrText>
      </w:r>
      <w:r w:rsidR="00AB00CF" w:rsidRPr="00AB00CF">
        <w:rPr>
          <w:highlight w:val="yellow"/>
        </w:rPr>
        <w:instrText xml:space="preserve"> \* MERGEFORMAT </w:instrText>
      </w:r>
      <w:r w:rsidR="00AB00CF" w:rsidRPr="00AB00CF">
        <w:rPr>
          <w:highlight w:val="yellow"/>
        </w:rPr>
      </w:r>
      <w:r w:rsidR="00AB00CF" w:rsidRPr="00AB00CF">
        <w:rPr>
          <w:highlight w:val="yellow"/>
        </w:rPr>
        <w:fldChar w:fldCharType="separate"/>
      </w:r>
      <w:r w:rsidR="004D232A" w:rsidRPr="004D232A">
        <w:t xml:space="preserve">Appendix S2 Figure </w:t>
      </w:r>
      <w:r w:rsidR="004D232A" w:rsidRPr="004D232A">
        <w:rPr>
          <w:noProof/>
        </w:rPr>
        <w:t>3</w:t>
      </w:r>
      <w:r w:rsidR="00AB00CF" w:rsidRPr="00AB00CF">
        <w:rPr>
          <w:highlight w:val="yellow"/>
        </w:rPr>
        <w:fldChar w:fldCharType="end"/>
      </w:r>
      <w:r w:rsidR="001F792A">
        <w:t>)</w:t>
      </w:r>
      <w:r w:rsidR="00EB345A">
        <w:t xml:space="preserve">.  </w:t>
      </w:r>
      <w:r w:rsidR="003D62CD">
        <w:t>Accordingly</w:t>
      </w:r>
      <w:r w:rsidR="00C55D6E">
        <w:t>, r</w:t>
      </w:r>
      <w:r w:rsidR="001F792A">
        <w:t xml:space="preserve">esultant </w:t>
      </w:r>
      <w:r w:rsidR="00EB345A">
        <w:t>mortality limits</w:t>
      </w:r>
      <w:r w:rsidR="001F792A">
        <w:t xml:space="preserve"> also increased across periods (</w:t>
      </w:r>
      <w:r w:rsidR="00AB00CF" w:rsidRPr="00AB00CF">
        <w:fldChar w:fldCharType="begin"/>
      </w:r>
      <w:r w:rsidR="00AB00CF" w:rsidRPr="00AB00CF">
        <w:instrText xml:space="preserve"> REF _Ref350689127 \h  \* MERGEFORMAT </w:instrText>
      </w:r>
      <w:r w:rsidR="00AB00CF" w:rsidRPr="00AB00CF">
        <w:fldChar w:fldCharType="separate"/>
      </w:r>
      <w:r w:rsidR="004D232A" w:rsidRPr="004D232A">
        <w:t xml:space="preserve">Appendix S2 Figure </w:t>
      </w:r>
      <w:r w:rsidR="004D232A" w:rsidRPr="004D232A">
        <w:rPr>
          <w:noProof/>
        </w:rPr>
        <w:t>4</w:t>
      </w:r>
      <w:r w:rsidR="00AB00CF" w:rsidRPr="00AB00CF">
        <w:fldChar w:fldCharType="end"/>
      </w:r>
      <w:r w:rsidR="001F792A">
        <w:t xml:space="preserve">).  </w:t>
      </w:r>
      <w:r w:rsidR="00EB345A">
        <w:t xml:space="preserve"> </w:t>
      </w:r>
      <w:r w:rsidR="00DD6F0F">
        <w:t>Whereas</w:t>
      </w:r>
      <w:r w:rsidR="005A5768">
        <w:t xml:space="preserve"> these changes may have reflected the inclusion of more accurate data, </w:t>
      </w:r>
      <w:r w:rsidR="00C55D6E">
        <w:t>we</w:t>
      </w:r>
      <w:r w:rsidR="005A5768">
        <w:t xml:space="preserve"> note that apparent reductions in overmortality frequencies may </w:t>
      </w:r>
      <w:r w:rsidR="00D92CC4">
        <w:t>have been due to adjusted parame</w:t>
      </w:r>
      <w:r w:rsidR="005A5768">
        <w:t>ters, not reduced mortality</w:t>
      </w:r>
      <w:r w:rsidR="00EB345A">
        <w:t>.</w:t>
      </w:r>
    </w:p>
    <w:p w14:paraId="1944B4CE" w14:textId="77777777" w:rsidR="005A5768" w:rsidRDefault="005A5768" w:rsidP="00347ADD">
      <w:pPr>
        <w:spacing w:after="0" w:line="360" w:lineRule="auto"/>
      </w:pPr>
    </w:p>
    <w:p w14:paraId="7BD9085E" w14:textId="77777777" w:rsidR="005C7BF1" w:rsidRDefault="005A5768" w:rsidP="00AB00CF">
      <w:pPr>
        <w:spacing w:after="0" w:line="360" w:lineRule="auto"/>
      </w:pPr>
      <w:r>
        <w:t xml:space="preserve">We also found evidence that </w:t>
      </w:r>
      <w:r w:rsidR="005E4CCD">
        <w:t xml:space="preserve">assessing </w:t>
      </w:r>
      <w:r w:rsidR="00FC7995">
        <w:t xml:space="preserve">overmortality across entire periods had </w:t>
      </w:r>
      <w:r w:rsidR="003062BC">
        <w:t xml:space="preserve">the </w:t>
      </w:r>
      <w:r w:rsidR="00FC7995">
        <w:t>effect of concealing</w:t>
      </w:r>
      <w:r w:rsidR="00EB345A">
        <w:t xml:space="preserve"> inter-annual variation in mortality rate (</w:t>
      </w:r>
      <w:r w:rsidR="00AB00CF" w:rsidRPr="00AB00CF">
        <w:rPr>
          <w:highlight w:val="yellow"/>
        </w:rPr>
        <w:fldChar w:fldCharType="begin"/>
      </w:r>
      <w:r w:rsidR="00AB00CF" w:rsidRPr="00AB00CF">
        <w:instrText xml:space="preserve"> REF _Ref350689139 \h </w:instrText>
      </w:r>
      <w:r w:rsidR="00AB00CF" w:rsidRPr="00AB00CF">
        <w:rPr>
          <w:highlight w:val="yellow"/>
        </w:rPr>
        <w:instrText xml:space="preserve"> \* MERGEFORMAT </w:instrText>
      </w:r>
      <w:r w:rsidR="00AB00CF" w:rsidRPr="00AB00CF">
        <w:rPr>
          <w:highlight w:val="yellow"/>
        </w:rPr>
      </w:r>
      <w:r w:rsidR="00AB00CF" w:rsidRPr="00AB00CF">
        <w:rPr>
          <w:highlight w:val="yellow"/>
        </w:rPr>
        <w:fldChar w:fldCharType="separate"/>
      </w:r>
      <w:r w:rsidR="004D232A" w:rsidRPr="004D232A">
        <w:t xml:space="preserve">Appendix S2 Figure </w:t>
      </w:r>
      <w:r w:rsidR="004D232A" w:rsidRPr="004D232A">
        <w:rPr>
          <w:noProof/>
        </w:rPr>
        <w:t>5</w:t>
      </w:r>
      <w:r w:rsidR="00AB00CF" w:rsidRPr="00AB00CF">
        <w:rPr>
          <w:highlight w:val="yellow"/>
        </w:rPr>
        <w:fldChar w:fldCharType="end"/>
      </w:r>
      <w:r w:rsidR="00EB345A">
        <w:t>); years in which mortality was unusually high were balanced by years in which it was unusually low.  This concealment increased with the longer (</w:t>
      </w:r>
      <w:r w:rsidR="00EB345A" w:rsidRPr="006A6000">
        <w:rPr>
          <w:i/>
        </w:rPr>
        <w:t>i.e.</w:t>
      </w:r>
      <w:r w:rsidR="00EB345A">
        <w:t xml:space="preserve"> five year) duration introduced in period 3, resulting in an apparent reduction of overmortality frequency compared to previous two</w:t>
      </w:r>
      <w:r w:rsidR="00FC55A4">
        <w:t xml:space="preserve"> </w:t>
      </w:r>
      <w:r w:rsidR="00EB345A">
        <w:t xml:space="preserve">periods, </w:t>
      </w:r>
      <w:r w:rsidR="00611783">
        <w:t xml:space="preserve">each of </w:t>
      </w:r>
      <w:r w:rsidR="00EB345A">
        <w:t>which were</w:t>
      </w:r>
      <w:r w:rsidR="00FC55A4">
        <w:t xml:space="preserve"> </w:t>
      </w:r>
      <w:r w:rsidR="00EB345A">
        <w:t xml:space="preserve">three years in length.  This effect was </w:t>
      </w:r>
      <w:r w:rsidR="00EB345A">
        <w:lastRenderedPageBreak/>
        <w:t xml:space="preserve">most pronounced with total overmortality measures; whereas </w:t>
      </w:r>
      <w:r w:rsidR="00112F8B">
        <w:t xml:space="preserve">counts of </w:t>
      </w:r>
      <w:r w:rsidR="00EB345A">
        <w:t>whole period and yearly female overm</w:t>
      </w:r>
      <w:r w:rsidR="00112F8B">
        <w:t>ortalities</w:t>
      </w:r>
      <w:r w:rsidR="00EB345A">
        <w:t xml:space="preserve"> followed a similar pattern across periods, </w:t>
      </w:r>
      <w:r w:rsidR="00112F8B">
        <w:t>counts of whole period total overmortalities</w:t>
      </w:r>
      <w:r w:rsidR="00EB345A">
        <w:t xml:space="preserve"> decreased considerably in period 3 </w:t>
      </w:r>
      <w:r w:rsidR="00DD6F0F">
        <w:t>whereas</w:t>
      </w:r>
      <w:r w:rsidR="00EB345A">
        <w:t xml:space="preserve"> </w:t>
      </w:r>
      <w:r w:rsidR="00112F8B">
        <w:t xml:space="preserve">counts of </w:t>
      </w:r>
      <w:r w:rsidR="00EB345A">
        <w:t xml:space="preserve">yearly </w:t>
      </w:r>
      <w:r w:rsidR="00761F1A">
        <w:t>overmortalities</w:t>
      </w:r>
      <w:r w:rsidR="00112F8B">
        <w:t xml:space="preserve"> </w:t>
      </w:r>
      <w:r w:rsidR="00EB345A">
        <w:t>did not (</w:t>
      </w:r>
      <w:r w:rsidR="00AB00CF" w:rsidRPr="00AB00CF">
        <w:rPr>
          <w:highlight w:val="yellow"/>
        </w:rPr>
        <w:fldChar w:fldCharType="begin"/>
      </w:r>
      <w:r w:rsidR="00AB00CF" w:rsidRPr="00AB00CF">
        <w:instrText xml:space="preserve"> REF _Ref350689149 \h </w:instrText>
      </w:r>
      <w:r w:rsidR="00AB00CF" w:rsidRPr="00AB00CF">
        <w:rPr>
          <w:highlight w:val="yellow"/>
        </w:rPr>
        <w:instrText xml:space="preserve"> \* MERGEFORMAT </w:instrText>
      </w:r>
      <w:r w:rsidR="00AB00CF" w:rsidRPr="00AB00CF">
        <w:rPr>
          <w:highlight w:val="yellow"/>
        </w:rPr>
      </w:r>
      <w:r w:rsidR="00AB00CF" w:rsidRPr="00AB00CF">
        <w:rPr>
          <w:highlight w:val="yellow"/>
        </w:rPr>
        <w:fldChar w:fldCharType="separate"/>
      </w:r>
      <w:r w:rsidR="004D232A" w:rsidRPr="004D232A">
        <w:t xml:space="preserve">Appendix S2 Figure </w:t>
      </w:r>
      <w:r w:rsidR="004D232A" w:rsidRPr="004D232A">
        <w:rPr>
          <w:noProof/>
        </w:rPr>
        <w:t>6</w:t>
      </w:r>
      <w:r w:rsidR="00AB00CF" w:rsidRPr="00AB00CF">
        <w:rPr>
          <w:highlight w:val="yellow"/>
        </w:rPr>
        <w:fldChar w:fldCharType="end"/>
      </w:r>
      <w:r w:rsidR="00EB345A">
        <w:t>).</w:t>
      </w:r>
    </w:p>
    <w:p w14:paraId="5022ED91" w14:textId="77777777" w:rsidR="000C5509" w:rsidRDefault="000C5509" w:rsidP="00AB00CF">
      <w:pPr>
        <w:spacing w:after="0" w:line="360" w:lineRule="auto"/>
      </w:pPr>
    </w:p>
    <w:p w14:paraId="6700B169" w14:textId="77777777" w:rsidR="005C7BF1" w:rsidRDefault="005C7BF1" w:rsidP="005C7BF1">
      <w:pPr>
        <w:keepNext/>
      </w:pPr>
      <w:r>
        <w:rPr>
          <w:noProof/>
          <w:lang w:eastAsia="en-CA"/>
        </w:rPr>
        <w:drawing>
          <wp:inline distT="0" distB="0" distL="0" distR="0" wp14:anchorId="57E1AB0B" wp14:editId="076BA6A2">
            <wp:extent cx="4572000" cy="3810000"/>
            <wp:effectExtent l="0" t="0" r="0" b="0"/>
            <wp:docPr id="31" name="Picture 31" descr="C:\Users\KA\Documents\My Dropbox\Dropbox\bears_overmort\r\base case descriptives\AA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\Documents\My Dropbox\Dropbox\bears_overmort\r\base case descriptives\AAM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2EBE7" w14:textId="77777777" w:rsidR="005C7BF1" w:rsidRDefault="005C7BF1" w:rsidP="005C7BF1">
      <w:pPr>
        <w:pStyle w:val="NoSpacing"/>
      </w:pPr>
      <w:bookmarkStart w:id="2" w:name="_Ref350689065"/>
      <w:r w:rsidRPr="005C7BF1">
        <w:rPr>
          <w:b/>
        </w:rPr>
        <w:t xml:space="preserve">Appendix S2 Figure </w:t>
      </w:r>
      <w:r w:rsidRPr="005C7BF1">
        <w:rPr>
          <w:b/>
        </w:rPr>
        <w:fldChar w:fldCharType="begin"/>
      </w:r>
      <w:r w:rsidRPr="005C7BF1">
        <w:rPr>
          <w:b/>
        </w:rPr>
        <w:instrText xml:space="preserve"> SEQ Appendix_S2_Figure \* ARABIC </w:instrText>
      </w:r>
      <w:r w:rsidRPr="005C7BF1">
        <w:rPr>
          <w:b/>
        </w:rPr>
        <w:fldChar w:fldCharType="separate"/>
      </w:r>
      <w:r w:rsidR="004D232A">
        <w:rPr>
          <w:b/>
          <w:noProof/>
        </w:rPr>
        <w:t>1</w:t>
      </w:r>
      <w:r w:rsidRPr="005C7BF1">
        <w:rPr>
          <w:b/>
        </w:rPr>
        <w:fldChar w:fldCharType="end"/>
      </w:r>
      <w:bookmarkEnd w:id="2"/>
      <w:r w:rsidRPr="005C7BF1">
        <w:t xml:space="preserve">  Management unit annual allowable mortality estimates used in grizzly bear (U. arctos horribilis) management, British Columbia, Canada, 2001-2003, 2004-2006, and 2007-2011.  Dashed line represents the period mean value.</w:t>
      </w:r>
    </w:p>
    <w:p w14:paraId="2540BFD5" w14:textId="77777777" w:rsidR="005C7BF1" w:rsidRDefault="005C7BF1" w:rsidP="005C7BF1">
      <w:pPr>
        <w:keepNext/>
      </w:pPr>
      <w:r>
        <w:rPr>
          <w:noProof/>
          <w:lang w:eastAsia="en-CA"/>
        </w:rPr>
        <w:lastRenderedPageBreak/>
        <w:drawing>
          <wp:inline distT="0" distB="0" distL="0" distR="0" wp14:anchorId="47E43BF7" wp14:editId="19DD4587">
            <wp:extent cx="4572000" cy="3810000"/>
            <wp:effectExtent l="0" t="0" r="0" b="0"/>
            <wp:docPr id="32" name="Picture 32" descr="C:\Users\KA\Documents\My Dropbox\Dropbox\bears_overmort\r\base case descriptives\unrepor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\Documents\My Dropbox\Dropbox\bears_overmort\r\base case descriptives\unreported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09B9" w14:textId="77777777" w:rsidR="00C11D86" w:rsidRDefault="005C7BF1" w:rsidP="00C11D86">
      <w:pPr>
        <w:pStyle w:val="NoSpacing"/>
      </w:pPr>
      <w:bookmarkStart w:id="3" w:name="_Ref350689090"/>
      <w:r w:rsidRPr="005C7BF1">
        <w:rPr>
          <w:b/>
        </w:rPr>
        <w:t xml:space="preserve">Appendix S2 Figure </w:t>
      </w:r>
      <w:r w:rsidRPr="005C7BF1">
        <w:rPr>
          <w:b/>
        </w:rPr>
        <w:fldChar w:fldCharType="begin"/>
      </w:r>
      <w:r w:rsidRPr="005C7BF1">
        <w:rPr>
          <w:b/>
        </w:rPr>
        <w:instrText xml:space="preserve"> SEQ Appendix_S2_Figure \* ARABIC </w:instrText>
      </w:r>
      <w:r w:rsidRPr="005C7BF1">
        <w:rPr>
          <w:b/>
        </w:rPr>
        <w:fldChar w:fldCharType="separate"/>
      </w:r>
      <w:r w:rsidR="004D232A">
        <w:rPr>
          <w:b/>
          <w:noProof/>
        </w:rPr>
        <w:t>2</w:t>
      </w:r>
      <w:r w:rsidRPr="005C7BF1">
        <w:rPr>
          <w:b/>
        </w:rPr>
        <w:fldChar w:fldCharType="end"/>
      </w:r>
      <w:bookmarkEnd w:id="3"/>
      <w:r>
        <w:t xml:space="preserve"> Management unit unreported mortality estimates used in grizzly bear </w:t>
      </w:r>
      <w:r>
        <w:rPr>
          <w:i/>
        </w:rPr>
        <w:t xml:space="preserve">(U. arctos horribilis) </w:t>
      </w:r>
      <w:r>
        <w:t>management, British Columbia, Canada, 2001-2003, 2004-2006, and 2007-2011.  Dashed line represents the period mean value.</w:t>
      </w:r>
    </w:p>
    <w:p w14:paraId="28DDD2A7" w14:textId="77777777" w:rsidR="005C7BF1" w:rsidRDefault="005C7BF1" w:rsidP="005C7BF1">
      <w:pPr>
        <w:pStyle w:val="NoSpacing"/>
      </w:pPr>
    </w:p>
    <w:p w14:paraId="60E71F57" w14:textId="77777777" w:rsidR="005C7BF1" w:rsidRDefault="005C7BF1" w:rsidP="005C7BF1">
      <w:pPr>
        <w:pStyle w:val="Caption"/>
        <w:spacing w:line="360" w:lineRule="auto"/>
      </w:pPr>
    </w:p>
    <w:p w14:paraId="1DAA422C" w14:textId="03D33714" w:rsidR="005C7BF1" w:rsidRDefault="0061647C" w:rsidP="005C7BF1">
      <w:pPr>
        <w:keepNext/>
      </w:pPr>
      <w:r>
        <w:rPr>
          <w:noProof/>
          <w:lang w:eastAsia="en-CA"/>
        </w:rPr>
        <w:lastRenderedPageBreak/>
        <w:drawing>
          <wp:inline distT="0" distB="0" distL="0" distR="0" wp14:anchorId="375EC216" wp14:editId="7E79AA77">
            <wp:extent cx="4572000" cy="381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ertainty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9453D" w14:textId="267435F2" w:rsidR="00C11D86" w:rsidRDefault="005C7BF1" w:rsidP="00C11D86">
      <w:pPr>
        <w:pStyle w:val="NoSpacing"/>
      </w:pPr>
      <w:bookmarkStart w:id="4" w:name="_Ref350689110"/>
      <w:r w:rsidRPr="005C7BF1">
        <w:rPr>
          <w:b/>
        </w:rPr>
        <w:t xml:space="preserve">Appendix S2 Figure </w:t>
      </w:r>
      <w:r w:rsidRPr="005C7BF1">
        <w:rPr>
          <w:b/>
        </w:rPr>
        <w:fldChar w:fldCharType="begin"/>
      </w:r>
      <w:r w:rsidRPr="005C7BF1">
        <w:rPr>
          <w:b/>
        </w:rPr>
        <w:instrText xml:space="preserve"> SEQ Appendix_S2_Figure \* ARABIC </w:instrText>
      </w:r>
      <w:r w:rsidRPr="005C7BF1">
        <w:rPr>
          <w:b/>
        </w:rPr>
        <w:fldChar w:fldCharType="separate"/>
      </w:r>
      <w:r w:rsidR="004D232A">
        <w:rPr>
          <w:b/>
          <w:noProof/>
        </w:rPr>
        <w:t>3</w:t>
      </w:r>
      <w:r w:rsidRPr="005C7BF1">
        <w:rPr>
          <w:b/>
        </w:rPr>
        <w:fldChar w:fldCharType="end"/>
      </w:r>
      <w:bookmarkStart w:id="5" w:name="_Ref349653214"/>
      <w:bookmarkEnd w:id="4"/>
      <w:r>
        <w:t xml:space="preserve"> </w:t>
      </w:r>
      <w:bookmarkEnd w:id="5"/>
      <w:r>
        <w:t>Management unit uncertainty correction</w:t>
      </w:r>
      <w:r w:rsidR="002D3749">
        <w:t xml:space="preserve"> factor</w:t>
      </w:r>
      <w:r>
        <w:t xml:space="preserve">s used in grizzly bear </w:t>
      </w:r>
      <w:r>
        <w:rPr>
          <w:i/>
        </w:rPr>
        <w:t xml:space="preserve">(U. arctos horribilis) </w:t>
      </w:r>
      <w:r>
        <w:t>management, British Columbia, Canada, 2001-2003, 2004-2006, and 2007-2011.  Dashed line represents the period mean value.</w:t>
      </w:r>
    </w:p>
    <w:p w14:paraId="09A1F1EE" w14:textId="77777777" w:rsidR="005C7BF1" w:rsidRDefault="005C7BF1" w:rsidP="005C7BF1">
      <w:pPr>
        <w:pStyle w:val="NoSpacing"/>
      </w:pPr>
    </w:p>
    <w:p w14:paraId="24CAF6DA" w14:textId="77777777" w:rsidR="005C7BF1" w:rsidRDefault="005C7BF1" w:rsidP="005C7BF1"/>
    <w:p w14:paraId="196CD64D" w14:textId="58F4AC9E" w:rsidR="00A2444F" w:rsidRDefault="0061647C" w:rsidP="00A2444F">
      <w:pPr>
        <w:keepNext/>
      </w:pPr>
      <w:r>
        <w:rPr>
          <w:noProof/>
          <w:lang w:eastAsia="en-CA"/>
        </w:rPr>
        <w:lastRenderedPageBreak/>
        <w:drawing>
          <wp:inline distT="0" distB="0" distL="0" distR="0" wp14:anchorId="225C5F15" wp14:editId="58E2FBC5">
            <wp:extent cx="4572000" cy="381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allowabl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F7EC" w14:textId="3D8F05A3" w:rsidR="00C11D86" w:rsidRDefault="00A2444F" w:rsidP="00C11D86">
      <w:pPr>
        <w:pStyle w:val="NoSpacing"/>
      </w:pPr>
      <w:bookmarkStart w:id="6" w:name="_Ref350689127"/>
      <w:r w:rsidRPr="00A2444F">
        <w:rPr>
          <w:b/>
        </w:rPr>
        <w:t xml:space="preserve">Appendix S2 Figure </w:t>
      </w:r>
      <w:r w:rsidRPr="00A2444F">
        <w:rPr>
          <w:b/>
        </w:rPr>
        <w:fldChar w:fldCharType="begin"/>
      </w:r>
      <w:r w:rsidRPr="00A2444F">
        <w:rPr>
          <w:b/>
        </w:rPr>
        <w:instrText xml:space="preserve"> SEQ Appendix_S2_Figure \* ARABIC </w:instrText>
      </w:r>
      <w:r w:rsidRPr="00A2444F">
        <w:rPr>
          <w:b/>
        </w:rPr>
        <w:fldChar w:fldCharType="separate"/>
      </w:r>
      <w:r w:rsidR="004D232A">
        <w:rPr>
          <w:b/>
          <w:noProof/>
        </w:rPr>
        <w:t>4</w:t>
      </w:r>
      <w:r w:rsidRPr="00A2444F">
        <w:rPr>
          <w:b/>
        </w:rPr>
        <w:fldChar w:fldCharType="end"/>
      </w:r>
      <w:bookmarkEnd w:id="6"/>
      <w:r>
        <w:rPr>
          <w:b/>
        </w:rPr>
        <w:t xml:space="preserve"> </w:t>
      </w:r>
      <w:r w:rsidR="005C7BF1">
        <w:t>Management unit total mortality</w:t>
      </w:r>
      <w:r w:rsidR="0061647C">
        <w:t xml:space="preserve"> limit</w:t>
      </w:r>
      <w:r w:rsidR="005C7BF1">
        <w:t xml:space="preserve"> estimates used in grizzly bear </w:t>
      </w:r>
      <w:r w:rsidR="005C7BF1">
        <w:rPr>
          <w:i/>
        </w:rPr>
        <w:t xml:space="preserve">(U. arctos horribilis) </w:t>
      </w:r>
      <w:r w:rsidR="005C7BF1">
        <w:t>management, British Columbia, Canada, 2001-2003, 2004-2006, and 2007-2011.  Dashed line represents the period mean value.</w:t>
      </w:r>
      <w:r w:rsidR="00C11D86" w:rsidRPr="00784361">
        <w:rPr>
          <w:highlight w:val="yellow"/>
        </w:rPr>
        <w:t xml:space="preserve"> </w:t>
      </w:r>
    </w:p>
    <w:p w14:paraId="05E52288" w14:textId="77777777" w:rsidR="005C7BF1" w:rsidRPr="00F9750A" w:rsidRDefault="005C7BF1" w:rsidP="00A2444F">
      <w:pPr>
        <w:pStyle w:val="NoSpacing"/>
        <w:rPr>
          <w:b/>
        </w:rPr>
      </w:pPr>
    </w:p>
    <w:p w14:paraId="426A7061" w14:textId="415DFE87" w:rsidR="005C7BF1" w:rsidRDefault="00D53298" w:rsidP="005C7BF1">
      <w:pPr>
        <w:spacing w:line="360" w:lineRule="auto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FA6572" wp14:editId="08D3F945">
                <wp:simplePos x="0" y="0"/>
                <wp:positionH relativeFrom="column">
                  <wp:posOffset>-5385</wp:posOffset>
                </wp:positionH>
                <wp:positionV relativeFrom="paragraph">
                  <wp:posOffset>2660650</wp:posOffset>
                </wp:positionV>
                <wp:extent cx="343815" cy="950569"/>
                <wp:effectExtent l="0" t="0" r="0" b="25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15" cy="950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34CE1" w14:textId="338251B0" w:rsidR="00D53298" w:rsidRPr="00704877" w:rsidRDefault="00D92595" w:rsidP="00D53298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Population u</w:t>
                            </w:r>
                            <w:r w:rsidR="00D53298">
                              <w:rPr>
                                <w:rFonts w:ascii="Arial" w:hAnsi="Arial" w:cs="Arial"/>
                                <w:sz w:val="16"/>
                              </w:rPr>
                              <w:t>nit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4pt;margin-top:209.5pt;width:27.05pt;height:74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" stroked="f">
                <v:textbox style="layout-flow:vertical;mso-layout-flow-alt:bottom-to-top">
                  <w:txbxContent>
                    <w:p w14:paraId="70934CE1" w14:textId="338251B0" w:rsidR="00D53298" w:rsidRPr="00704877" w:rsidRDefault="00D92595" w:rsidP="00D53298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Population u</w:t>
                      </w:r>
                      <w:r w:rsidR="00D53298">
                        <w:rPr>
                          <w:rFonts w:ascii="Arial" w:hAnsi="Arial" w:cs="Arial"/>
                          <w:sz w:val="16"/>
                        </w:rPr>
                        <w:t>nit</w:t>
                      </w:r>
                    </w:p>
                  </w:txbxContent>
                </v:textbox>
              </v:shape>
            </w:pict>
          </mc:Fallback>
        </mc:AlternateContent>
      </w:r>
      <w:r w:rsidR="0070487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394E75" wp14:editId="5DAC8359">
                <wp:simplePos x="0" y="0"/>
                <wp:positionH relativeFrom="column">
                  <wp:posOffset>1799590</wp:posOffset>
                </wp:positionH>
                <wp:positionV relativeFrom="paragraph">
                  <wp:posOffset>6156630</wp:posOffset>
                </wp:positionV>
                <wp:extent cx="3745383" cy="234086"/>
                <wp:effectExtent l="0" t="0" r="762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383" cy="234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1CDC0" w14:textId="77777777" w:rsidR="00D53298" w:rsidRPr="00704877" w:rsidRDefault="00D53298" w:rsidP="00704877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04877">
                              <w:rPr>
                                <w:rFonts w:ascii="Arial" w:hAnsi="Arial" w:cs="Arial"/>
                                <w:sz w:val="16"/>
                              </w:rPr>
                              <w:t>Known mortality as percent difference from mortality 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1.7pt;margin-top:484.75pt;width:294.9pt;height:1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" stroked="f">
                <v:textbox>
                  <w:txbxContent>
                    <w:p w14:paraId="0741CDC0" w14:textId="77777777" w:rsidR="00D53298" w:rsidRPr="00704877" w:rsidRDefault="00D53298" w:rsidP="00704877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704877">
                        <w:rPr>
                          <w:rFonts w:ascii="Arial" w:hAnsi="Arial" w:cs="Arial"/>
                          <w:sz w:val="16"/>
                        </w:rPr>
                        <w:t>Known mortality as percent difference from mortality target</w:t>
                      </w:r>
                    </w:p>
                  </w:txbxContent>
                </v:textbox>
              </v:shape>
            </w:pict>
          </mc:Fallback>
        </mc:AlternateContent>
      </w:r>
      <w:r w:rsidR="003D12A8">
        <w:rPr>
          <w:noProof/>
          <w:lang w:eastAsia="en-CA"/>
        </w:rPr>
        <w:drawing>
          <wp:inline distT="0" distB="0" distL="0" distR="0" wp14:anchorId="5B2695F7" wp14:editId="72540C47">
            <wp:extent cx="5943600" cy="63322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w data statistical averaging20012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2331" w14:textId="428CB646" w:rsidR="005C7BF1" w:rsidRDefault="00D92595" w:rsidP="005C7BF1">
      <w:pPr>
        <w:spacing w:line="360" w:lineRule="auto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EF0E8A" wp14:editId="5349ACC9">
                <wp:simplePos x="0" y="0"/>
                <wp:positionH relativeFrom="column">
                  <wp:posOffset>635</wp:posOffset>
                </wp:positionH>
                <wp:positionV relativeFrom="paragraph">
                  <wp:posOffset>2697480</wp:posOffset>
                </wp:positionV>
                <wp:extent cx="343535" cy="949960"/>
                <wp:effectExtent l="0" t="0" r="0" b="25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AFE7B" w14:textId="77777777" w:rsidR="00D92595" w:rsidRPr="00704877" w:rsidRDefault="00D92595" w:rsidP="00D92595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Population unit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05pt;margin-top:212.4pt;width:27.05pt;height:7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" stroked="f">
                <v:textbox style="layout-flow:vertical;mso-layout-flow-alt:bottom-to-top">
                  <w:txbxContent>
                    <w:p w14:paraId="09FAFE7B" w14:textId="77777777" w:rsidR="00D92595" w:rsidRPr="00704877" w:rsidRDefault="00D92595" w:rsidP="00D92595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Population unit</w:t>
                      </w:r>
                    </w:p>
                  </w:txbxContent>
                </v:textbox>
              </v:shape>
            </w:pict>
          </mc:Fallback>
        </mc:AlternateContent>
      </w:r>
      <w:r w:rsidR="0070487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DF1253" wp14:editId="2B3960F7">
                <wp:simplePos x="0" y="0"/>
                <wp:positionH relativeFrom="column">
                  <wp:posOffset>1860550</wp:posOffset>
                </wp:positionH>
                <wp:positionV relativeFrom="paragraph">
                  <wp:posOffset>6150940</wp:posOffset>
                </wp:positionV>
                <wp:extent cx="3745383" cy="234086"/>
                <wp:effectExtent l="0" t="0" r="762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383" cy="234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431EE" w14:textId="77777777" w:rsidR="00D53298" w:rsidRPr="00704877" w:rsidRDefault="00D53298" w:rsidP="00704877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04877">
                              <w:rPr>
                                <w:rFonts w:ascii="Arial" w:hAnsi="Arial" w:cs="Arial"/>
                                <w:sz w:val="16"/>
                              </w:rPr>
                              <w:t>Known mortality as percent difference from mortality 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6.5pt;margin-top:484.35pt;width:294.9pt;height:1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" stroked="f">
                <v:textbox>
                  <w:txbxContent>
                    <w:p w14:paraId="696431EE" w14:textId="77777777" w:rsidR="00D53298" w:rsidRPr="00704877" w:rsidRDefault="00D53298" w:rsidP="00704877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704877">
                        <w:rPr>
                          <w:rFonts w:ascii="Arial" w:hAnsi="Arial" w:cs="Arial"/>
                          <w:sz w:val="16"/>
                        </w:rPr>
                        <w:t>Known mortality as percent difference from mortality target</w:t>
                      </w:r>
                    </w:p>
                  </w:txbxContent>
                </v:textbox>
              </v:shape>
            </w:pict>
          </mc:Fallback>
        </mc:AlternateContent>
      </w:r>
      <w:r w:rsidR="003D12A8">
        <w:rPr>
          <w:noProof/>
          <w:sz w:val="16"/>
          <w:szCs w:val="16"/>
          <w:lang w:eastAsia="en-CA"/>
        </w:rPr>
        <w:drawing>
          <wp:inline distT="0" distB="0" distL="0" distR="0" wp14:anchorId="1D68010C" wp14:editId="39FCE993">
            <wp:extent cx="5943600" cy="63322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w data statistical averaging200420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82DC" w14:textId="77777777" w:rsidR="00704877" w:rsidRDefault="00704877" w:rsidP="00B719E6">
      <w:pPr>
        <w:keepNext/>
        <w:spacing w:line="360" w:lineRule="auto"/>
      </w:pPr>
    </w:p>
    <w:p w14:paraId="5160BC22" w14:textId="273433B3" w:rsidR="00B719E6" w:rsidRDefault="00D92595" w:rsidP="00B719E6">
      <w:pPr>
        <w:keepNext/>
        <w:spacing w:line="360" w:lineRule="auto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515E3D" wp14:editId="5F1233BA">
                <wp:simplePos x="0" y="0"/>
                <wp:positionH relativeFrom="column">
                  <wp:posOffset>7366</wp:posOffset>
                </wp:positionH>
                <wp:positionV relativeFrom="paragraph">
                  <wp:posOffset>2658110</wp:posOffset>
                </wp:positionV>
                <wp:extent cx="343535" cy="949960"/>
                <wp:effectExtent l="0" t="0" r="0" b="25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678AE" w14:textId="77777777" w:rsidR="00D92595" w:rsidRPr="00704877" w:rsidRDefault="00D92595" w:rsidP="00D92595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Population unit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.6pt;margin-top:209.3pt;width:27.05pt;height:7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" stroked="f">
                <v:textbox style="layout-flow:vertical;mso-layout-flow-alt:bottom-to-top">
                  <w:txbxContent>
                    <w:p w14:paraId="4C7678AE" w14:textId="77777777" w:rsidR="00D92595" w:rsidRPr="00704877" w:rsidRDefault="00D92595" w:rsidP="00D92595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Population unit</w:t>
                      </w:r>
                    </w:p>
                  </w:txbxContent>
                </v:textbox>
              </v:shape>
            </w:pict>
          </mc:Fallback>
        </mc:AlternateContent>
      </w:r>
      <w:r w:rsidR="0070487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8960C9" wp14:editId="18B01DFD">
                <wp:simplePos x="0" y="0"/>
                <wp:positionH relativeFrom="column">
                  <wp:posOffset>1753870</wp:posOffset>
                </wp:positionH>
                <wp:positionV relativeFrom="paragraph">
                  <wp:posOffset>6157900</wp:posOffset>
                </wp:positionV>
                <wp:extent cx="3745383" cy="234086"/>
                <wp:effectExtent l="0" t="0" r="762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383" cy="234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BA99F" w14:textId="34E7F948" w:rsidR="00D53298" w:rsidRPr="00704877" w:rsidRDefault="00D53298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04877">
                              <w:rPr>
                                <w:rFonts w:ascii="Arial" w:hAnsi="Arial" w:cs="Arial"/>
                                <w:sz w:val="16"/>
                              </w:rPr>
                              <w:t>Known mortality as percent difference from mortality 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8.1pt;margin-top:484.85pt;width:294.9pt;height:1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" stroked="f">
                <v:textbox>
                  <w:txbxContent>
                    <w:p w14:paraId="277BA99F" w14:textId="34E7F948" w:rsidR="00D53298" w:rsidRPr="00704877" w:rsidRDefault="00D53298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704877">
                        <w:rPr>
                          <w:rFonts w:ascii="Arial" w:hAnsi="Arial" w:cs="Arial"/>
                          <w:sz w:val="16"/>
                        </w:rPr>
                        <w:t>Known mortality as percent difference from mortality target</w:t>
                      </w:r>
                    </w:p>
                  </w:txbxContent>
                </v:textbox>
              </v:shape>
            </w:pict>
          </mc:Fallback>
        </mc:AlternateContent>
      </w:r>
      <w:r w:rsidR="003D12A8">
        <w:rPr>
          <w:noProof/>
          <w:lang w:eastAsia="en-CA"/>
        </w:rPr>
        <w:drawing>
          <wp:inline distT="0" distB="0" distL="0" distR="0" wp14:anchorId="3699796E" wp14:editId="38D44050">
            <wp:extent cx="5943600" cy="63322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w data statistical averaging200720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3A13" w14:textId="4E26A1B1" w:rsidR="005C7BF1" w:rsidRPr="00E104AF" w:rsidRDefault="00B719E6" w:rsidP="00B719E6">
      <w:pPr>
        <w:pStyle w:val="NoSpacing"/>
        <w:rPr>
          <w:b/>
        </w:rPr>
      </w:pPr>
      <w:bookmarkStart w:id="7" w:name="_Ref350689139"/>
      <w:r w:rsidRPr="00B719E6">
        <w:rPr>
          <w:b/>
        </w:rPr>
        <w:t xml:space="preserve">Appendix S2 Figure </w:t>
      </w:r>
      <w:r w:rsidRPr="00B719E6">
        <w:rPr>
          <w:b/>
        </w:rPr>
        <w:fldChar w:fldCharType="begin"/>
      </w:r>
      <w:r w:rsidRPr="00B719E6">
        <w:rPr>
          <w:b/>
        </w:rPr>
        <w:instrText xml:space="preserve"> SEQ Appendix_S2_Figure \* ARABIC </w:instrText>
      </w:r>
      <w:r w:rsidRPr="00B719E6">
        <w:rPr>
          <w:b/>
        </w:rPr>
        <w:fldChar w:fldCharType="separate"/>
      </w:r>
      <w:r w:rsidR="004D232A">
        <w:rPr>
          <w:b/>
          <w:noProof/>
        </w:rPr>
        <w:t>5</w:t>
      </w:r>
      <w:r w:rsidRPr="00B719E6">
        <w:rPr>
          <w:b/>
        </w:rPr>
        <w:fldChar w:fldCharType="end"/>
      </w:r>
      <w:bookmarkEnd w:id="7"/>
      <w:r w:rsidR="005C7BF1">
        <w:rPr>
          <w:b/>
        </w:rPr>
        <w:t xml:space="preserve"> </w:t>
      </w:r>
      <w:r w:rsidR="005C7BF1">
        <w:t xml:space="preserve">Comparison of percent difference between </w:t>
      </w:r>
      <w:r w:rsidR="0061647C">
        <w:t xml:space="preserve">known mortality </w:t>
      </w:r>
      <w:r w:rsidR="005C7BF1">
        <w:t xml:space="preserve">and </w:t>
      </w:r>
      <w:r w:rsidR="00C11D86">
        <w:t xml:space="preserve">mortality </w:t>
      </w:r>
      <w:r w:rsidR="0061647C">
        <w:t xml:space="preserve">limits </w:t>
      </w:r>
      <w:r w:rsidR="00C11D86">
        <w:t>in Grizzly B</w:t>
      </w:r>
      <w:r w:rsidR="005C7BF1">
        <w:t xml:space="preserve">ear </w:t>
      </w:r>
      <w:r w:rsidR="005C7BF1">
        <w:rPr>
          <w:i/>
        </w:rPr>
        <w:t xml:space="preserve">(U. arctos horribilis) </w:t>
      </w:r>
      <w:r w:rsidR="00C11D86">
        <w:t>Population Units (</w:t>
      </w:r>
      <w:r w:rsidR="00575F48">
        <w:t>population unit</w:t>
      </w:r>
      <w:r w:rsidR="000672B6">
        <w:t>s</w:t>
      </w:r>
      <w:r w:rsidR="00C11D86">
        <w:t xml:space="preserve">) </w:t>
      </w:r>
      <w:r w:rsidR="000672B6">
        <w:t xml:space="preserve">of </w:t>
      </w:r>
      <w:r w:rsidR="005C7BF1">
        <w:t xml:space="preserve">British Columbia, Canada, </w:t>
      </w:r>
      <w:r w:rsidR="00C11D86">
        <w:t xml:space="preserve">2001-2011, </w:t>
      </w:r>
      <w:r w:rsidR="005C7BF1">
        <w:t>at the yearly scale (black dots) and the period scale (red dashes).  Vertical red line indicates a percent difference of 0 (</w:t>
      </w:r>
      <w:r w:rsidR="0061647C">
        <w:t xml:space="preserve">known </w:t>
      </w:r>
      <w:r w:rsidR="00C11D86">
        <w:t xml:space="preserve">mortality was equal to </w:t>
      </w:r>
      <w:r w:rsidR="0061647C">
        <w:t>mortality limits</w:t>
      </w:r>
      <w:r w:rsidR="005C7BF1">
        <w:t xml:space="preserve">).  Periods examined are A) 2001-2003, B) 2004-2006, and C) 2007-2011 </w:t>
      </w:r>
    </w:p>
    <w:p w14:paraId="2DA69696" w14:textId="77777777" w:rsidR="00B719E6" w:rsidRDefault="005C7BF1" w:rsidP="00B719E6">
      <w:pPr>
        <w:pStyle w:val="Caption"/>
        <w:keepNext/>
        <w:spacing w:line="360" w:lineRule="auto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B3FE40" wp14:editId="6D37813E">
                <wp:simplePos x="0" y="0"/>
                <wp:positionH relativeFrom="column">
                  <wp:posOffset>-153619</wp:posOffset>
                </wp:positionH>
                <wp:positionV relativeFrom="paragraph">
                  <wp:posOffset>146304</wp:posOffset>
                </wp:positionV>
                <wp:extent cx="357911" cy="3057754"/>
                <wp:effectExtent l="0" t="0" r="444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911" cy="3057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B857C2" w14:textId="645443CD" w:rsidR="00D53298" w:rsidRDefault="00D53298" w:rsidP="005C7BF1">
                            <w:r>
                              <w:t>Number of population units with overmortalities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2.1pt;margin-top:11.5pt;width:28.2pt;height:24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" stroked="f">
                <v:textbox style="layout-flow:vertical;mso-layout-flow-alt:bottom-to-top">
                  <w:txbxContent>
                    <w:p w14:paraId="19B857C2" w14:textId="645443CD" w:rsidR="00D53298" w:rsidRDefault="00D53298" w:rsidP="005C7BF1">
                      <w:r>
                        <w:t xml:space="preserve">Number of population units with </w:t>
                      </w:r>
                      <w:proofErr w:type="spellStart"/>
                      <w:r>
                        <w:t>overmortalities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41FDFD38" wp14:editId="47E81367">
            <wp:extent cx="5943600" cy="3597275"/>
            <wp:effectExtent l="0" t="0" r="0" b="3175"/>
            <wp:docPr id="21" name="Picture 21" descr="C:\Users\KA\Documents\raincoast\Grizz\hunting paper\comparison_overm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\Documents\raincoast\Grizz\hunting paper\comparison_overmor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BCE5C" w14:textId="2BF119DF" w:rsidR="005C7BF1" w:rsidRDefault="00B719E6" w:rsidP="00B719E6">
      <w:pPr>
        <w:pStyle w:val="NoSpacing"/>
      </w:pPr>
      <w:bookmarkStart w:id="8" w:name="_Ref350689149"/>
      <w:r w:rsidRPr="00B719E6">
        <w:rPr>
          <w:b/>
        </w:rPr>
        <w:t xml:space="preserve">Appendix S2 Figure </w:t>
      </w:r>
      <w:r w:rsidRPr="00B719E6">
        <w:rPr>
          <w:b/>
        </w:rPr>
        <w:fldChar w:fldCharType="begin"/>
      </w:r>
      <w:r w:rsidRPr="00B719E6">
        <w:rPr>
          <w:b/>
        </w:rPr>
        <w:instrText xml:space="preserve"> SEQ Appendix_S2_Figure \* ARABIC </w:instrText>
      </w:r>
      <w:r w:rsidRPr="00B719E6">
        <w:rPr>
          <w:b/>
        </w:rPr>
        <w:fldChar w:fldCharType="separate"/>
      </w:r>
      <w:r w:rsidR="004D232A">
        <w:rPr>
          <w:b/>
          <w:noProof/>
        </w:rPr>
        <w:t>6</w:t>
      </w:r>
      <w:r w:rsidRPr="00B719E6">
        <w:rPr>
          <w:b/>
        </w:rPr>
        <w:fldChar w:fldCharType="end"/>
      </w:r>
      <w:bookmarkEnd w:id="8"/>
      <w:r w:rsidR="005C7BF1">
        <w:rPr>
          <w:b/>
        </w:rPr>
        <w:t xml:space="preserve"> </w:t>
      </w:r>
      <w:r w:rsidR="005C7BF1">
        <w:t>Comparison of detected Grizzly Bear (</w:t>
      </w:r>
      <w:r w:rsidR="005C7BF1">
        <w:rPr>
          <w:i/>
        </w:rPr>
        <w:t xml:space="preserve">U. arctos horribilis) </w:t>
      </w:r>
      <w:r w:rsidR="005C7BF1">
        <w:t>Population Unit (</w:t>
      </w:r>
      <w:r w:rsidR="00575F48">
        <w:t>population unit</w:t>
      </w:r>
      <w:r w:rsidR="005C7BF1">
        <w:t xml:space="preserve">) female and total overmortalities in British Columbia, Canada, from 2001-2003, 2004-2006, and 2007-2011.  Black lines are number of </w:t>
      </w:r>
      <w:r w:rsidR="00575F48">
        <w:t>population unit</w:t>
      </w:r>
      <w:r w:rsidR="005C7BF1">
        <w:t>s with detected period overmortalities (</w:t>
      </w:r>
      <w:r w:rsidR="0061647C">
        <w:t xml:space="preserve">known </w:t>
      </w:r>
      <w:r w:rsidR="005C7BF1">
        <w:t xml:space="preserve">mortality for period exceeding mortality </w:t>
      </w:r>
      <w:r w:rsidR="0061647C">
        <w:t xml:space="preserve">limits </w:t>
      </w:r>
      <w:r w:rsidR="005C7BF1">
        <w:t xml:space="preserve">for period).  Orange lines are number of </w:t>
      </w:r>
      <w:r w:rsidR="00575F48">
        <w:t>population unit</w:t>
      </w:r>
      <w:r w:rsidR="005C7BF1">
        <w:t>s with detected yearly overmortalities (</w:t>
      </w:r>
      <w:r w:rsidR="0061647C">
        <w:t xml:space="preserve">known </w:t>
      </w:r>
      <w:r w:rsidR="005C7BF1">
        <w:t xml:space="preserve">yearly mortality exceeded period mortality/period length at least once in given period).  </w:t>
      </w:r>
    </w:p>
    <w:p w14:paraId="6CDF919A" w14:textId="163AC611" w:rsidR="00D72D4E" w:rsidRPr="00D72D4E" w:rsidRDefault="00D72D4E" w:rsidP="004F138D">
      <w:pPr>
        <w:pStyle w:val="Bibliography"/>
      </w:pPr>
    </w:p>
    <w:sectPr w:rsidR="00D72D4E" w:rsidRPr="00D72D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72844"/>
    <w:multiLevelType w:val="multilevel"/>
    <w:tmpl w:val="5E462A46"/>
    <w:lvl w:ilvl="0">
      <w:start w:val="1"/>
      <w:numFmt w:val="decimal"/>
      <w:lvlText w:val="Appedix S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25557625"/>
    <w:multiLevelType w:val="hybridMultilevel"/>
    <w:tmpl w:val="97FAC17C"/>
    <w:lvl w:ilvl="0" w:tplc="C358B5E2">
      <w:start w:val="1"/>
      <w:numFmt w:val="decimal"/>
      <w:lvlText w:val="Appendix S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82CF3"/>
    <w:multiLevelType w:val="multilevel"/>
    <w:tmpl w:val="16B8F1B6"/>
    <w:lvl w:ilvl="0">
      <w:start w:val="1"/>
      <w:numFmt w:val="decimal"/>
      <w:lvlText w:val="Appendix S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54FB70C2"/>
    <w:multiLevelType w:val="multilevel"/>
    <w:tmpl w:val="5E462A46"/>
    <w:lvl w:ilvl="0">
      <w:start w:val="1"/>
      <w:numFmt w:val="decimal"/>
      <w:lvlText w:val="Appedix S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4B1"/>
    <w:rsid w:val="00004C98"/>
    <w:rsid w:val="000073F2"/>
    <w:rsid w:val="00011A55"/>
    <w:rsid w:val="00014DD6"/>
    <w:rsid w:val="00020B26"/>
    <w:rsid w:val="000235E2"/>
    <w:rsid w:val="00024A61"/>
    <w:rsid w:val="00027FAE"/>
    <w:rsid w:val="00044F2E"/>
    <w:rsid w:val="00050A9C"/>
    <w:rsid w:val="000672B6"/>
    <w:rsid w:val="000B1740"/>
    <w:rsid w:val="000B1FFA"/>
    <w:rsid w:val="000C5509"/>
    <w:rsid w:val="000C622F"/>
    <w:rsid w:val="000E4D48"/>
    <w:rsid w:val="000F0BD6"/>
    <w:rsid w:val="000F42AB"/>
    <w:rsid w:val="000F76B8"/>
    <w:rsid w:val="0010040F"/>
    <w:rsid w:val="0010177D"/>
    <w:rsid w:val="00112F8B"/>
    <w:rsid w:val="001308F7"/>
    <w:rsid w:val="00162A9F"/>
    <w:rsid w:val="0017598B"/>
    <w:rsid w:val="00187608"/>
    <w:rsid w:val="00196B76"/>
    <w:rsid w:val="001E7961"/>
    <w:rsid w:val="001F1D04"/>
    <w:rsid w:val="001F792A"/>
    <w:rsid w:val="00216412"/>
    <w:rsid w:val="002246CC"/>
    <w:rsid w:val="00253D25"/>
    <w:rsid w:val="002930BE"/>
    <w:rsid w:val="002C329B"/>
    <w:rsid w:val="002D3749"/>
    <w:rsid w:val="002F37E8"/>
    <w:rsid w:val="00301139"/>
    <w:rsid w:val="00303480"/>
    <w:rsid w:val="003062BC"/>
    <w:rsid w:val="003129E5"/>
    <w:rsid w:val="00312A0D"/>
    <w:rsid w:val="00313FCD"/>
    <w:rsid w:val="003202C7"/>
    <w:rsid w:val="00324AEA"/>
    <w:rsid w:val="00347ADD"/>
    <w:rsid w:val="00356D27"/>
    <w:rsid w:val="00367CFA"/>
    <w:rsid w:val="00382780"/>
    <w:rsid w:val="0038470C"/>
    <w:rsid w:val="003924A9"/>
    <w:rsid w:val="003B0721"/>
    <w:rsid w:val="003B2301"/>
    <w:rsid w:val="003B26BB"/>
    <w:rsid w:val="003C3BFA"/>
    <w:rsid w:val="003D12A8"/>
    <w:rsid w:val="003D62CD"/>
    <w:rsid w:val="003E10EB"/>
    <w:rsid w:val="003E1B11"/>
    <w:rsid w:val="003F73A4"/>
    <w:rsid w:val="00406B2C"/>
    <w:rsid w:val="004237E2"/>
    <w:rsid w:val="00430DA1"/>
    <w:rsid w:val="00435811"/>
    <w:rsid w:val="004372DC"/>
    <w:rsid w:val="00466D48"/>
    <w:rsid w:val="00485A91"/>
    <w:rsid w:val="00485D86"/>
    <w:rsid w:val="004B028F"/>
    <w:rsid w:val="004D232A"/>
    <w:rsid w:val="004D777D"/>
    <w:rsid w:val="004E0483"/>
    <w:rsid w:val="004F0119"/>
    <w:rsid w:val="004F138D"/>
    <w:rsid w:val="004F2346"/>
    <w:rsid w:val="004F61E5"/>
    <w:rsid w:val="00507D67"/>
    <w:rsid w:val="00517488"/>
    <w:rsid w:val="00553507"/>
    <w:rsid w:val="00562484"/>
    <w:rsid w:val="00573E9D"/>
    <w:rsid w:val="00575F48"/>
    <w:rsid w:val="00576B64"/>
    <w:rsid w:val="005815F7"/>
    <w:rsid w:val="00584D1C"/>
    <w:rsid w:val="00586683"/>
    <w:rsid w:val="005A0306"/>
    <w:rsid w:val="005A5768"/>
    <w:rsid w:val="005C7BF1"/>
    <w:rsid w:val="005D331B"/>
    <w:rsid w:val="005E4CCD"/>
    <w:rsid w:val="005E6936"/>
    <w:rsid w:val="005E6A4B"/>
    <w:rsid w:val="00600B58"/>
    <w:rsid w:val="0060398A"/>
    <w:rsid w:val="006049A8"/>
    <w:rsid w:val="0060566C"/>
    <w:rsid w:val="00611783"/>
    <w:rsid w:val="0061457F"/>
    <w:rsid w:val="0061647C"/>
    <w:rsid w:val="006164C2"/>
    <w:rsid w:val="006378B0"/>
    <w:rsid w:val="006463FD"/>
    <w:rsid w:val="0067418C"/>
    <w:rsid w:val="00690710"/>
    <w:rsid w:val="006908D5"/>
    <w:rsid w:val="006B784D"/>
    <w:rsid w:val="006C3A5F"/>
    <w:rsid w:val="006C3FB9"/>
    <w:rsid w:val="006D28ED"/>
    <w:rsid w:val="006D3D6A"/>
    <w:rsid w:val="006E2DCB"/>
    <w:rsid w:val="006F3400"/>
    <w:rsid w:val="00702383"/>
    <w:rsid w:val="00704877"/>
    <w:rsid w:val="00714A82"/>
    <w:rsid w:val="0071786F"/>
    <w:rsid w:val="00726C53"/>
    <w:rsid w:val="007313C0"/>
    <w:rsid w:val="00755118"/>
    <w:rsid w:val="00761F1A"/>
    <w:rsid w:val="00764834"/>
    <w:rsid w:val="0077175C"/>
    <w:rsid w:val="00784361"/>
    <w:rsid w:val="007B2FB5"/>
    <w:rsid w:val="007D609E"/>
    <w:rsid w:val="007D7758"/>
    <w:rsid w:val="007E6FE0"/>
    <w:rsid w:val="00803DF0"/>
    <w:rsid w:val="00830744"/>
    <w:rsid w:val="0086488D"/>
    <w:rsid w:val="008666FB"/>
    <w:rsid w:val="0089777F"/>
    <w:rsid w:val="008A3734"/>
    <w:rsid w:val="008B2D7D"/>
    <w:rsid w:val="008D7E43"/>
    <w:rsid w:val="008E040F"/>
    <w:rsid w:val="008E3869"/>
    <w:rsid w:val="00930D82"/>
    <w:rsid w:val="00935D16"/>
    <w:rsid w:val="009369D8"/>
    <w:rsid w:val="00937F81"/>
    <w:rsid w:val="00987081"/>
    <w:rsid w:val="00993B99"/>
    <w:rsid w:val="00995283"/>
    <w:rsid w:val="00996E71"/>
    <w:rsid w:val="009B064D"/>
    <w:rsid w:val="009C3C75"/>
    <w:rsid w:val="009D04AF"/>
    <w:rsid w:val="00A0271E"/>
    <w:rsid w:val="00A05E4F"/>
    <w:rsid w:val="00A14DC4"/>
    <w:rsid w:val="00A173A0"/>
    <w:rsid w:val="00A2444F"/>
    <w:rsid w:val="00A30974"/>
    <w:rsid w:val="00A4556E"/>
    <w:rsid w:val="00A52E43"/>
    <w:rsid w:val="00A713CD"/>
    <w:rsid w:val="00A920E1"/>
    <w:rsid w:val="00A938FA"/>
    <w:rsid w:val="00A96C90"/>
    <w:rsid w:val="00AA1339"/>
    <w:rsid w:val="00AA3D3C"/>
    <w:rsid w:val="00AA6028"/>
    <w:rsid w:val="00AB00CF"/>
    <w:rsid w:val="00AC5AE1"/>
    <w:rsid w:val="00AD4FF8"/>
    <w:rsid w:val="00AE056F"/>
    <w:rsid w:val="00AE499F"/>
    <w:rsid w:val="00AE5A1A"/>
    <w:rsid w:val="00B07C30"/>
    <w:rsid w:val="00B12C5E"/>
    <w:rsid w:val="00B3472F"/>
    <w:rsid w:val="00B3570D"/>
    <w:rsid w:val="00B5023C"/>
    <w:rsid w:val="00B5414E"/>
    <w:rsid w:val="00B57680"/>
    <w:rsid w:val="00B67A46"/>
    <w:rsid w:val="00B719E6"/>
    <w:rsid w:val="00BB22BE"/>
    <w:rsid w:val="00BC2F94"/>
    <w:rsid w:val="00BC48A8"/>
    <w:rsid w:val="00BC5376"/>
    <w:rsid w:val="00BE25F3"/>
    <w:rsid w:val="00BF11DA"/>
    <w:rsid w:val="00BF79F6"/>
    <w:rsid w:val="00C030BE"/>
    <w:rsid w:val="00C043A0"/>
    <w:rsid w:val="00C11D86"/>
    <w:rsid w:val="00C226D9"/>
    <w:rsid w:val="00C40773"/>
    <w:rsid w:val="00C47E95"/>
    <w:rsid w:val="00C539E6"/>
    <w:rsid w:val="00C55D6E"/>
    <w:rsid w:val="00C623B1"/>
    <w:rsid w:val="00CA202B"/>
    <w:rsid w:val="00CA51D9"/>
    <w:rsid w:val="00CB58C9"/>
    <w:rsid w:val="00CC06C3"/>
    <w:rsid w:val="00CD5583"/>
    <w:rsid w:val="00CD570B"/>
    <w:rsid w:val="00CF2CCE"/>
    <w:rsid w:val="00D05C30"/>
    <w:rsid w:val="00D06BAC"/>
    <w:rsid w:val="00D27C49"/>
    <w:rsid w:val="00D51C85"/>
    <w:rsid w:val="00D53298"/>
    <w:rsid w:val="00D72D4E"/>
    <w:rsid w:val="00D74E06"/>
    <w:rsid w:val="00D92595"/>
    <w:rsid w:val="00D92CC4"/>
    <w:rsid w:val="00DA6BD6"/>
    <w:rsid w:val="00DC0A0A"/>
    <w:rsid w:val="00DC34B1"/>
    <w:rsid w:val="00DD6F0F"/>
    <w:rsid w:val="00DE0108"/>
    <w:rsid w:val="00DF0894"/>
    <w:rsid w:val="00E104AF"/>
    <w:rsid w:val="00E34DA1"/>
    <w:rsid w:val="00E35147"/>
    <w:rsid w:val="00E36941"/>
    <w:rsid w:val="00E5255E"/>
    <w:rsid w:val="00E54F75"/>
    <w:rsid w:val="00E64BC0"/>
    <w:rsid w:val="00E6538C"/>
    <w:rsid w:val="00E87ABC"/>
    <w:rsid w:val="00EA3D18"/>
    <w:rsid w:val="00EA5891"/>
    <w:rsid w:val="00EB345A"/>
    <w:rsid w:val="00EC7E38"/>
    <w:rsid w:val="00ED207C"/>
    <w:rsid w:val="00ED323D"/>
    <w:rsid w:val="00EF5BF2"/>
    <w:rsid w:val="00F057E8"/>
    <w:rsid w:val="00F15CE7"/>
    <w:rsid w:val="00F3267B"/>
    <w:rsid w:val="00F6155C"/>
    <w:rsid w:val="00F6238D"/>
    <w:rsid w:val="00F65DA4"/>
    <w:rsid w:val="00F674A6"/>
    <w:rsid w:val="00F73544"/>
    <w:rsid w:val="00F8597D"/>
    <w:rsid w:val="00F93B29"/>
    <w:rsid w:val="00F9750A"/>
    <w:rsid w:val="00FC55A4"/>
    <w:rsid w:val="00FC7995"/>
    <w:rsid w:val="00FE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2A0F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4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DA1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inorHAnsi"/>
      <w:b/>
      <w:bCs/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29E5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29E5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29E5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29E5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9E5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9E5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9E5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30D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0D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0DA1"/>
    <w:rPr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0DA1"/>
    <w:pPr>
      <w:numPr>
        <w:ilvl w:val="1"/>
      </w:numPr>
      <w:spacing w:after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30D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30D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DA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30DA1"/>
    <w:rPr>
      <w:rFonts w:asciiTheme="majorHAnsi" w:eastAsiaTheme="majorEastAsia" w:hAnsiTheme="majorHAnsi" w:cstheme="minorHAnsi"/>
      <w:b/>
      <w:bCs/>
      <w:i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345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20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202B"/>
    <w:rPr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60398A"/>
    <w:pPr>
      <w:tabs>
        <w:tab w:val="left" w:pos="504"/>
      </w:tabs>
      <w:spacing w:after="240" w:line="240" w:lineRule="auto"/>
      <w:ind w:left="504" w:hanging="504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3129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29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29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29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29E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9E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9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129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29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C7BF1"/>
    <w:pPr>
      <w:spacing w:after="0" w:line="240" w:lineRule="auto"/>
    </w:pPr>
  </w:style>
  <w:style w:type="paragraph" w:styleId="Revision">
    <w:name w:val="Revision"/>
    <w:hidden/>
    <w:uiPriority w:val="99"/>
    <w:semiHidden/>
    <w:rsid w:val="003B23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4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DA1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inorHAnsi"/>
      <w:b/>
      <w:bCs/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29E5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29E5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29E5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29E5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9E5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9E5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9E5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30D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0D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0DA1"/>
    <w:rPr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0DA1"/>
    <w:pPr>
      <w:numPr>
        <w:ilvl w:val="1"/>
      </w:numPr>
      <w:spacing w:after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30D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30D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DA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30DA1"/>
    <w:rPr>
      <w:rFonts w:asciiTheme="majorHAnsi" w:eastAsiaTheme="majorEastAsia" w:hAnsiTheme="majorHAnsi" w:cstheme="minorHAnsi"/>
      <w:b/>
      <w:bCs/>
      <w:i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345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20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202B"/>
    <w:rPr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60398A"/>
    <w:pPr>
      <w:tabs>
        <w:tab w:val="left" w:pos="504"/>
      </w:tabs>
      <w:spacing w:after="240" w:line="240" w:lineRule="auto"/>
      <w:ind w:left="504" w:hanging="504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3129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29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29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29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29E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9E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9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129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29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C7BF1"/>
    <w:pPr>
      <w:spacing w:after="0" w:line="240" w:lineRule="auto"/>
    </w:pPr>
  </w:style>
  <w:style w:type="paragraph" w:styleId="Revision">
    <w:name w:val="Revision"/>
    <w:hidden/>
    <w:uiPriority w:val="99"/>
    <w:semiHidden/>
    <w:rsid w:val="003B23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microsoft.com/office/2007/relationships/stylesWithEffects" Target="stylesWithEffects.xml"/><Relationship Id="rId9" Type="http://schemas.openxmlformats.org/officeDocument/2006/relationships/image" Target="media/image3.t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B4305-02DA-4D3B-921F-1D32DB20F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</dc:creator>
  <cp:lastModifiedBy>KA</cp:lastModifiedBy>
  <cp:revision>4</cp:revision>
  <dcterms:created xsi:type="dcterms:W3CDTF">2013-09-04T15:19:00Z</dcterms:created>
  <dcterms:modified xsi:type="dcterms:W3CDTF">2013-09-04T15:41:00Z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zotero-version="4.0.11"&gt;&lt;session id="3xpEixMn"/&gt;&lt;style id="http://www.zotero.org/styles/plos-one" hasBibliography="1" bibliographyStyleHasBeenSet="1"/&gt;&lt;prefs&gt;&lt;pref name="fieldType" value="Field"/&gt;&lt;pref name="storeReferences" value="</vt:lpwstr>
  </property>
  <property fmtid="{D5CDD505-2E9C-101B-9397-08002B2CF9AE}" pid="3" name="ZOTERO_PREF_2">
    <vt:lpwstr>true"/&gt;&lt;pref name="automaticJournalAbbreviations" value="false"/&gt;&lt;pref name="noteType" value="0"/&gt;&lt;/prefs&gt;&lt;/data&gt;</vt:lpwstr>
  </property>
</Properties>
</file>