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19" w:rsidRDefault="00051419" w:rsidP="00051419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2B1F43">
        <w:rPr>
          <w:rFonts w:ascii="Times New Roman" w:hAnsi="Times New Roman" w:cs="Times New Roman"/>
          <w:lang w:val="en-US"/>
        </w:rPr>
        <w:t xml:space="preserve">Table </w:t>
      </w:r>
      <w:r w:rsidR="00E3164E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3</w:t>
      </w:r>
      <w:r w:rsidRPr="002B1F43">
        <w:rPr>
          <w:rFonts w:ascii="Times New Roman" w:hAnsi="Times New Roman" w:cs="Times New Roman"/>
          <w:lang w:val="en-US"/>
        </w:rPr>
        <w:t>.O</w:t>
      </w:r>
      <w:r>
        <w:rPr>
          <w:rFonts w:ascii="Times New Roman" w:hAnsi="Times New Roman" w:cs="Times New Roman"/>
          <w:lang w:val="en-US"/>
        </w:rPr>
        <w:t>dds ratios and 95% confidence intervals representing the odds of</w:t>
      </w:r>
      <w:r w:rsidRPr="002B1F4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2B1F43">
        <w:rPr>
          <w:rFonts w:ascii="Times New Roman" w:hAnsi="Times New Roman" w:cs="Times New Roman"/>
          <w:lang w:val="en-US"/>
        </w:rPr>
        <w:t xml:space="preserve"> stroke</w:t>
      </w:r>
      <w:r>
        <w:rPr>
          <w:rFonts w:ascii="Times New Roman" w:hAnsi="Times New Roman" w:cs="Times New Roman"/>
          <w:lang w:val="en-US"/>
        </w:rPr>
        <w:t xml:space="preserve"> or CVD</w:t>
      </w:r>
      <w:r w:rsidRPr="002B1F43">
        <w:rPr>
          <w:rFonts w:ascii="Times New Roman" w:hAnsi="Times New Roman" w:cs="Times New Roman"/>
          <w:lang w:val="en-US"/>
        </w:rPr>
        <w:t xml:space="preserve"> diagnosis per 1 </w:t>
      </w:r>
      <w:r>
        <w:rPr>
          <w:rFonts w:ascii="Times New Roman" w:hAnsi="Times New Roman" w:cs="Times New Roman"/>
          <w:lang w:val="en-US"/>
        </w:rPr>
        <w:t>unit</w:t>
      </w:r>
      <w:r w:rsidRPr="002B1F43">
        <w:rPr>
          <w:rFonts w:ascii="Times New Roman" w:hAnsi="Times New Roman" w:cs="Times New Roman"/>
          <w:lang w:val="en-US"/>
        </w:rPr>
        <w:t xml:space="preserve"> increase in </w:t>
      </w:r>
      <w:r>
        <w:rPr>
          <w:rFonts w:ascii="Times New Roman" w:hAnsi="Times New Roman" w:cs="Times New Roman"/>
          <w:lang w:val="en-US"/>
        </w:rPr>
        <w:t xml:space="preserve">log transformed </w:t>
      </w:r>
      <w:r w:rsidRPr="002B1F43">
        <w:rPr>
          <w:rFonts w:ascii="Times New Roman" w:hAnsi="Times New Roman" w:cs="Times New Roman"/>
          <w:lang w:val="en-US"/>
        </w:rPr>
        <w:t>urinary tungsten concentration</w:t>
      </w:r>
      <w:r>
        <w:rPr>
          <w:rFonts w:ascii="Times New Roman" w:hAnsi="Times New Roman" w:cs="Times New Roman"/>
          <w:lang w:val="en-US"/>
        </w:rPr>
        <w:t xml:space="preserve"> (expressed as µg per mg of urinary creatinine) for each of the six NHANES waves  in adults aged less than 75 years</w:t>
      </w:r>
      <w:r w:rsidRPr="002B1F43">
        <w:rPr>
          <w:rFonts w:ascii="Times New Roman" w:hAnsi="Times New Roman" w:cs="Times New Roman"/>
          <w:lang w:val="en-US"/>
        </w:rPr>
        <w:t>.</w:t>
      </w:r>
    </w:p>
    <w:tbl>
      <w:tblPr>
        <w:tblStyle w:val="TableGrid"/>
        <w:tblW w:w="14101" w:type="dxa"/>
        <w:tblLook w:val="04A0" w:firstRow="1" w:lastRow="0" w:firstColumn="1" w:lastColumn="0" w:noHBand="0" w:noVBand="1"/>
      </w:tblPr>
      <w:tblGrid>
        <w:gridCol w:w="2929"/>
        <w:gridCol w:w="1854"/>
        <w:gridCol w:w="1854"/>
        <w:gridCol w:w="1756"/>
        <w:gridCol w:w="1866"/>
        <w:gridCol w:w="1976"/>
        <w:gridCol w:w="1866"/>
      </w:tblGrid>
      <w:tr w:rsidR="00051419" w:rsidRPr="003F2FB3" w:rsidTr="00B329E0">
        <w:trPr>
          <w:trHeight w:val="312"/>
        </w:trPr>
        <w:tc>
          <w:tcPr>
            <w:tcW w:w="2929" w:type="dxa"/>
            <w:noWrap/>
            <w:hideMark/>
          </w:tcPr>
          <w:p w:rsidR="00051419" w:rsidRPr="003F2FB3" w:rsidRDefault="00051419" w:rsidP="00B329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172" w:type="dxa"/>
            <w:gridSpan w:val="6"/>
            <w:noWrap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NHANES Year</w:t>
            </w:r>
          </w:p>
        </w:tc>
      </w:tr>
      <w:tr w:rsidR="00051419" w:rsidRPr="003F2FB3" w:rsidTr="00B329E0">
        <w:trPr>
          <w:trHeight w:val="312"/>
        </w:trPr>
        <w:tc>
          <w:tcPr>
            <w:tcW w:w="2929" w:type="dxa"/>
            <w:noWrap/>
            <w:hideMark/>
          </w:tcPr>
          <w:p w:rsidR="00051419" w:rsidRPr="003F2FB3" w:rsidRDefault="00051419" w:rsidP="00B329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54" w:type="dxa"/>
            <w:noWrap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1999/2000</w:t>
            </w:r>
          </w:p>
        </w:tc>
        <w:tc>
          <w:tcPr>
            <w:tcW w:w="1854" w:type="dxa"/>
            <w:noWrap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2001/2002</w:t>
            </w:r>
          </w:p>
        </w:tc>
        <w:tc>
          <w:tcPr>
            <w:tcW w:w="1756" w:type="dxa"/>
            <w:noWrap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2003/4</w:t>
            </w:r>
          </w:p>
        </w:tc>
        <w:tc>
          <w:tcPr>
            <w:tcW w:w="1866" w:type="dxa"/>
            <w:noWrap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2005/6</w:t>
            </w:r>
          </w:p>
        </w:tc>
        <w:tc>
          <w:tcPr>
            <w:tcW w:w="1976" w:type="dxa"/>
            <w:noWrap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2007/8</w:t>
            </w:r>
          </w:p>
        </w:tc>
        <w:tc>
          <w:tcPr>
            <w:tcW w:w="1866" w:type="dxa"/>
            <w:noWrap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2009/10</w:t>
            </w:r>
          </w:p>
        </w:tc>
      </w:tr>
      <w:tr w:rsidR="00051419" w:rsidRPr="003F2FB3" w:rsidTr="00B329E0">
        <w:trPr>
          <w:trHeight w:val="312"/>
        </w:trPr>
        <w:tc>
          <w:tcPr>
            <w:tcW w:w="2929" w:type="dxa"/>
            <w:noWrap/>
            <w:hideMark/>
          </w:tcPr>
          <w:p w:rsidR="00051419" w:rsidRPr="003F2FB3" w:rsidRDefault="00051419" w:rsidP="00B329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172" w:type="dxa"/>
            <w:gridSpan w:val="6"/>
            <w:noWrap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Stroke</w:t>
            </w:r>
          </w:p>
        </w:tc>
      </w:tr>
      <w:tr w:rsidR="00051419" w:rsidRPr="003F2FB3" w:rsidTr="00B329E0">
        <w:trPr>
          <w:trHeight w:val="300"/>
        </w:trPr>
        <w:tc>
          <w:tcPr>
            <w:tcW w:w="2929" w:type="dxa"/>
            <w:noWrap/>
          </w:tcPr>
          <w:p w:rsidR="00051419" w:rsidRPr="003F2FB3" w:rsidRDefault="00051419" w:rsidP="00B329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Odds ratio (95% CI)</w:t>
            </w:r>
          </w:p>
        </w:tc>
        <w:tc>
          <w:tcPr>
            <w:tcW w:w="1854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0.72 (0.45,1.16)</w:t>
            </w:r>
          </w:p>
        </w:tc>
        <w:tc>
          <w:tcPr>
            <w:tcW w:w="1854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1.63 (1.00-2.67)?</w:t>
            </w:r>
          </w:p>
        </w:tc>
        <w:tc>
          <w:tcPr>
            <w:tcW w:w="1756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1.30 (0.87-1.93)</w:t>
            </w:r>
          </w:p>
        </w:tc>
        <w:tc>
          <w:tcPr>
            <w:tcW w:w="1866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1.51 (1.04-2.21)*</w:t>
            </w:r>
          </w:p>
        </w:tc>
        <w:tc>
          <w:tcPr>
            <w:tcW w:w="1976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1.52 (1.13-2.05)**</w:t>
            </w:r>
          </w:p>
        </w:tc>
        <w:tc>
          <w:tcPr>
            <w:tcW w:w="1866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1.54 (0.97-2.46)?</w:t>
            </w:r>
          </w:p>
        </w:tc>
      </w:tr>
      <w:tr w:rsidR="00051419" w:rsidRPr="003F2FB3" w:rsidTr="00B329E0">
        <w:trPr>
          <w:trHeight w:val="300"/>
        </w:trPr>
        <w:tc>
          <w:tcPr>
            <w:tcW w:w="2929" w:type="dxa"/>
            <w:noWrap/>
          </w:tcPr>
          <w:p w:rsidR="00051419" w:rsidRPr="003F2FB3" w:rsidRDefault="00051419" w:rsidP="00B329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Stroke cases crude</w:t>
            </w:r>
          </w:p>
        </w:tc>
        <w:tc>
          <w:tcPr>
            <w:tcW w:w="1854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31 (1152)</w:t>
            </w:r>
          </w:p>
        </w:tc>
        <w:tc>
          <w:tcPr>
            <w:tcW w:w="1854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22 (1332)</w:t>
            </w:r>
          </w:p>
        </w:tc>
        <w:tc>
          <w:tcPr>
            <w:tcW w:w="1756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41 (1263)</w:t>
            </w:r>
          </w:p>
        </w:tc>
        <w:tc>
          <w:tcPr>
            <w:tcW w:w="1866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29 (1172)</w:t>
            </w:r>
          </w:p>
        </w:tc>
        <w:tc>
          <w:tcPr>
            <w:tcW w:w="1976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43 (1442)</w:t>
            </w:r>
          </w:p>
        </w:tc>
        <w:tc>
          <w:tcPr>
            <w:tcW w:w="1866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37 (1541)</w:t>
            </w:r>
          </w:p>
        </w:tc>
      </w:tr>
      <w:tr w:rsidR="00051419" w:rsidRPr="003F2FB3" w:rsidTr="00B329E0">
        <w:trPr>
          <w:trHeight w:val="300"/>
        </w:trPr>
        <w:tc>
          <w:tcPr>
            <w:tcW w:w="2929" w:type="dxa"/>
            <w:noWrap/>
          </w:tcPr>
          <w:p w:rsidR="00051419" w:rsidRPr="003F2FB3" w:rsidRDefault="00051419" w:rsidP="00B329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Adjusted odds ratio (95% CI)</w:t>
            </w:r>
          </w:p>
        </w:tc>
        <w:tc>
          <w:tcPr>
            <w:tcW w:w="1854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0.59 (0.24,1.45)</w:t>
            </w:r>
          </w:p>
        </w:tc>
        <w:tc>
          <w:tcPr>
            <w:tcW w:w="1854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1.61 (0.75-3.45)</w:t>
            </w:r>
          </w:p>
        </w:tc>
        <w:tc>
          <w:tcPr>
            <w:tcW w:w="1756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1.24 (0.69-2.24)</w:t>
            </w:r>
          </w:p>
        </w:tc>
        <w:tc>
          <w:tcPr>
            <w:tcW w:w="1866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1.57 (0.88-2.80)</w:t>
            </w:r>
          </w:p>
        </w:tc>
        <w:tc>
          <w:tcPr>
            <w:tcW w:w="1976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1.74 (1.10-2.77)*</w:t>
            </w:r>
          </w:p>
        </w:tc>
        <w:tc>
          <w:tcPr>
            <w:tcW w:w="1866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1.84 (1.01-3.34)*</w:t>
            </w:r>
          </w:p>
        </w:tc>
      </w:tr>
      <w:tr w:rsidR="00051419" w:rsidRPr="003F2FB3" w:rsidTr="00B329E0">
        <w:trPr>
          <w:trHeight w:val="300"/>
        </w:trPr>
        <w:tc>
          <w:tcPr>
            <w:tcW w:w="2929" w:type="dxa"/>
            <w:noWrap/>
          </w:tcPr>
          <w:p w:rsidR="00051419" w:rsidRPr="003F2FB3" w:rsidRDefault="00051419" w:rsidP="00B329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Stroke cases adjusted</w:t>
            </w:r>
          </w:p>
        </w:tc>
        <w:tc>
          <w:tcPr>
            <w:tcW w:w="1854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22 (918)</w:t>
            </w:r>
          </w:p>
        </w:tc>
        <w:tc>
          <w:tcPr>
            <w:tcW w:w="1854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17 (1167)</w:t>
            </w:r>
          </w:p>
        </w:tc>
        <w:tc>
          <w:tcPr>
            <w:tcW w:w="1756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36 (1137)</w:t>
            </w:r>
          </w:p>
        </w:tc>
        <w:tc>
          <w:tcPr>
            <w:tcW w:w="1866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25 (1065)</w:t>
            </w:r>
          </w:p>
        </w:tc>
        <w:tc>
          <w:tcPr>
            <w:tcW w:w="1976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34 (1237)</w:t>
            </w:r>
          </w:p>
        </w:tc>
        <w:tc>
          <w:tcPr>
            <w:tcW w:w="1866" w:type="dxa"/>
            <w:noWrap/>
            <w:vAlign w:val="center"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33 (1316)</w:t>
            </w:r>
          </w:p>
        </w:tc>
      </w:tr>
      <w:tr w:rsidR="00051419" w:rsidRPr="003F2FB3" w:rsidTr="00B329E0">
        <w:trPr>
          <w:trHeight w:val="312"/>
        </w:trPr>
        <w:tc>
          <w:tcPr>
            <w:tcW w:w="2929" w:type="dxa"/>
            <w:noWrap/>
            <w:hideMark/>
          </w:tcPr>
          <w:p w:rsidR="00051419" w:rsidRPr="003F2FB3" w:rsidRDefault="00051419" w:rsidP="00B329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172" w:type="dxa"/>
            <w:gridSpan w:val="6"/>
            <w:noWrap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Cardiovascular disease</w:t>
            </w:r>
          </w:p>
        </w:tc>
      </w:tr>
      <w:tr w:rsidR="00051419" w:rsidRPr="003F2FB3" w:rsidTr="00B329E0">
        <w:trPr>
          <w:trHeight w:val="300"/>
        </w:trPr>
        <w:tc>
          <w:tcPr>
            <w:tcW w:w="2929" w:type="dxa"/>
            <w:noWrap/>
            <w:hideMark/>
          </w:tcPr>
          <w:p w:rsidR="00051419" w:rsidRPr="003F2FB3" w:rsidRDefault="00051419" w:rsidP="00B329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Odds ratio (95% CI)</w:t>
            </w:r>
          </w:p>
        </w:tc>
        <w:tc>
          <w:tcPr>
            <w:tcW w:w="1854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1.51 (1.00-2.29)?</w:t>
            </w:r>
          </w:p>
        </w:tc>
        <w:tc>
          <w:tcPr>
            <w:tcW w:w="1854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1.14 (0.89-1.47)</w:t>
            </w:r>
          </w:p>
        </w:tc>
        <w:tc>
          <w:tcPr>
            <w:tcW w:w="1756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1.20 (0.89-1.61)</w:t>
            </w:r>
          </w:p>
        </w:tc>
        <w:tc>
          <w:tcPr>
            <w:tcW w:w="1866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1.04 (0.73-1.48)</w:t>
            </w:r>
          </w:p>
        </w:tc>
        <w:tc>
          <w:tcPr>
            <w:tcW w:w="1976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1.15 (0.86-1.53)</w:t>
            </w:r>
          </w:p>
        </w:tc>
        <w:tc>
          <w:tcPr>
            <w:tcW w:w="1866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1.07 (0.71-1.62)</w:t>
            </w:r>
          </w:p>
        </w:tc>
      </w:tr>
      <w:tr w:rsidR="00051419" w:rsidRPr="003F2FB3" w:rsidTr="00B329E0">
        <w:trPr>
          <w:trHeight w:val="300"/>
        </w:trPr>
        <w:tc>
          <w:tcPr>
            <w:tcW w:w="2929" w:type="dxa"/>
            <w:noWrap/>
            <w:hideMark/>
          </w:tcPr>
          <w:p w:rsidR="00051419" w:rsidRPr="003F2FB3" w:rsidRDefault="00051419" w:rsidP="00B329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CVD cases crude</w:t>
            </w:r>
          </w:p>
        </w:tc>
        <w:tc>
          <w:tcPr>
            <w:tcW w:w="1854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77 (1104)</w:t>
            </w:r>
          </w:p>
        </w:tc>
        <w:tc>
          <w:tcPr>
            <w:tcW w:w="1854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78 (1275)</w:t>
            </w:r>
          </w:p>
        </w:tc>
        <w:tc>
          <w:tcPr>
            <w:tcW w:w="1756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90 (1214)</w:t>
            </w:r>
          </w:p>
        </w:tc>
        <w:tc>
          <w:tcPr>
            <w:tcW w:w="1866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59 (1331)</w:t>
            </w:r>
          </w:p>
        </w:tc>
        <w:tc>
          <w:tcPr>
            <w:tcW w:w="1976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79 (1402)</w:t>
            </w:r>
          </w:p>
        </w:tc>
        <w:tc>
          <w:tcPr>
            <w:tcW w:w="1866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67 (1599)</w:t>
            </w:r>
          </w:p>
        </w:tc>
      </w:tr>
      <w:tr w:rsidR="00051419" w:rsidRPr="003F2FB3" w:rsidTr="00B329E0">
        <w:trPr>
          <w:trHeight w:val="300"/>
        </w:trPr>
        <w:tc>
          <w:tcPr>
            <w:tcW w:w="2929" w:type="dxa"/>
            <w:noWrap/>
            <w:hideMark/>
          </w:tcPr>
          <w:p w:rsidR="00051419" w:rsidRPr="003F2FB3" w:rsidRDefault="00051419" w:rsidP="00B329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Adjusted odds ratio (95% CI)</w:t>
            </w:r>
          </w:p>
        </w:tc>
        <w:tc>
          <w:tcPr>
            <w:tcW w:w="1854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1.50 (0.91-2.47)</w:t>
            </w:r>
          </w:p>
        </w:tc>
        <w:tc>
          <w:tcPr>
            <w:tcW w:w="1854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1.29 (0.95-1.76)</w:t>
            </w:r>
          </w:p>
        </w:tc>
        <w:tc>
          <w:tcPr>
            <w:tcW w:w="1756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1.07 (0.70-1.65)</w:t>
            </w:r>
          </w:p>
        </w:tc>
        <w:tc>
          <w:tcPr>
            <w:tcW w:w="1866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1.10 (0.74-1.65)</w:t>
            </w:r>
          </w:p>
        </w:tc>
        <w:tc>
          <w:tcPr>
            <w:tcW w:w="1976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1.15 (0.70-1.88)</w:t>
            </w:r>
          </w:p>
        </w:tc>
        <w:tc>
          <w:tcPr>
            <w:tcW w:w="1866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1.08 (0.64-1.82)</w:t>
            </w:r>
          </w:p>
        </w:tc>
      </w:tr>
      <w:tr w:rsidR="00051419" w:rsidRPr="003F2FB3" w:rsidTr="00B329E0">
        <w:trPr>
          <w:trHeight w:val="300"/>
        </w:trPr>
        <w:tc>
          <w:tcPr>
            <w:tcW w:w="2929" w:type="dxa"/>
            <w:noWrap/>
            <w:hideMark/>
          </w:tcPr>
          <w:p w:rsidR="00051419" w:rsidRPr="003F2FB3" w:rsidRDefault="00051419" w:rsidP="00B329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CVD cases adjusted</w:t>
            </w:r>
          </w:p>
        </w:tc>
        <w:tc>
          <w:tcPr>
            <w:tcW w:w="1854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61 (878)</w:t>
            </w:r>
          </w:p>
        </w:tc>
        <w:tc>
          <w:tcPr>
            <w:tcW w:w="1854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66 (1118)</w:t>
            </w:r>
          </w:p>
        </w:tc>
        <w:tc>
          <w:tcPr>
            <w:tcW w:w="1756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78 (1095)</w:t>
            </w:r>
          </w:p>
        </w:tc>
        <w:tc>
          <w:tcPr>
            <w:tcW w:w="1866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51 (1194)</w:t>
            </w:r>
          </w:p>
        </w:tc>
        <w:tc>
          <w:tcPr>
            <w:tcW w:w="1976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62 (1205)</w:t>
            </w:r>
          </w:p>
        </w:tc>
        <w:tc>
          <w:tcPr>
            <w:tcW w:w="1866" w:type="dxa"/>
            <w:noWrap/>
            <w:vAlign w:val="center"/>
            <w:hideMark/>
          </w:tcPr>
          <w:p w:rsidR="00051419" w:rsidRPr="003F2FB3" w:rsidRDefault="00051419" w:rsidP="00B32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F2FB3">
              <w:rPr>
                <w:rFonts w:ascii="Times New Roman" w:eastAsia="Times New Roman" w:hAnsi="Times New Roman" w:cs="Times New Roman"/>
                <w:color w:val="000000"/>
                <w:sz w:val="22"/>
              </w:rPr>
              <w:t>58 (1362)</w:t>
            </w:r>
          </w:p>
        </w:tc>
      </w:tr>
    </w:tbl>
    <w:p w:rsidR="00051419" w:rsidRDefault="00051419" w:rsidP="00051419">
      <w:pPr>
        <w:spacing w:line="276" w:lineRule="auto"/>
        <w:rPr>
          <w:rFonts w:ascii="Times New Roman" w:hAnsi="Times New Roman" w:cs="Times New Roman"/>
        </w:rPr>
      </w:pPr>
    </w:p>
    <w:p w:rsidR="00051419" w:rsidRPr="002B1F43" w:rsidRDefault="00051419" w:rsidP="00051419">
      <w:pPr>
        <w:spacing w:line="276" w:lineRule="auto"/>
        <w:rPr>
          <w:rFonts w:ascii="Times New Roman" w:hAnsi="Times New Roman" w:cs="Times New Roman"/>
          <w:lang w:val="en-US"/>
        </w:rPr>
      </w:pPr>
      <w:r w:rsidRPr="002B1F43">
        <w:rPr>
          <w:rFonts w:ascii="Times New Roman" w:hAnsi="Times New Roman" w:cs="Times New Roman"/>
          <w:lang w:val="en-US"/>
        </w:rPr>
        <w:t xml:space="preserve">Statistical significance is denoted </w:t>
      </w:r>
      <w:proofErr w:type="gramStart"/>
      <w:r w:rsidRPr="002B1F43">
        <w:rPr>
          <w:rFonts w:ascii="Times New Roman" w:hAnsi="Times New Roman" w:cs="Times New Roman"/>
          <w:lang w:val="en-US"/>
        </w:rPr>
        <w:t>by</w:t>
      </w:r>
      <w:r>
        <w:rPr>
          <w:rFonts w:ascii="Times New Roman" w:hAnsi="Times New Roman" w:cs="Times New Roman"/>
          <w:lang w:val="en-US"/>
        </w:rPr>
        <w:t xml:space="preserve"> ?</w:t>
      </w:r>
      <w:proofErr w:type="gramEnd"/>
      <w:r>
        <w:rPr>
          <w:rFonts w:ascii="Times New Roman" w:hAnsi="Times New Roman" w:cs="Times New Roman"/>
          <w:lang w:val="en-US"/>
        </w:rPr>
        <w:t xml:space="preserve">, * and </w:t>
      </w:r>
      <w:r w:rsidRPr="002B1F43">
        <w:rPr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  <w:lang w:val="en-US"/>
        </w:rPr>
        <w:t>*</w:t>
      </w:r>
      <w:r w:rsidRPr="002B1F43">
        <w:rPr>
          <w:rFonts w:ascii="Times New Roman" w:hAnsi="Times New Roman" w:cs="Times New Roman"/>
          <w:lang w:val="en-US"/>
        </w:rPr>
        <w:t xml:space="preserve"> representing </w:t>
      </w:r>
      <w:r w:rsidRPr="002B1F43">
        <w:rPr>
          <w:rFonts w:ascii="Times New Roman" w:hAnsi="Times New Roman" w:cs="Times New Roman"/>
          <w:i/>
          <w:iCs/>
          <w:lang w:val="en-US"/>
        </w:rPr>
        <w:t>P</w:t>
      </w:r>
      <w:r w:rsidRPr="002B1F43">
        <w:rPr>
          <w:rFonts w:ascii="Times New Roman" w:hAnsi="Times New Roman" w:cs="Times New Roman"/>
          <w:lang w:val="en-US"/>
        </w:rPr>
        <w:t>&lt;0.</w:t>
      </w:r>
      <w:r>
        <w:rPr>
          <w:rFonts w:ascii="Times New Roman" w:hAnsi="Times New Roman" w:cs="Times New Roman"/>
          <w:lang w:val="en-US"/>
        </w:rPr>
        <w:t xml:space="preserve">1, </w:t>
      </w:r>
      <w:r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lang w:val="en-US"/>
        </w:rPr>
        <w:t>&lt;0.05</w:t>
      </w:r>
      <w:r w:rsidRPr="002B1F43">
        <w:rPr>
          <w:rFonts w:ascii="Times New Roman" w:hAnsi="Times New Roman" w:cs="Times New Roman"/>
          <w:lang w:val="en-US"/>
        </w:rPr>
        <w:t xml:space="preserve"> and </w:t>
      </w:r>
      <w:r w:rsidRPr="002B1F43">
        <w:rPr>
          <w:rFonts w:ascii="Times New Roman" w:hAnsi="Times New Roman" w:cs="Times New Roman"/>
          <w:i/>
          <w:iCs/>
          <w:lang w:val="en-US"/>
        </w:rPr>
        <w:t>P</w:t>
      </w:r>
      <w:r w:rsidRPr="002B1F43">
        <w:rPr>
          <w:rFonts w:ascii="Times New Roman" w:hAnsi="Times New Roman" w:cs="Times New Roman"/>
          <w:lang w:val="en-US"/>
        </w:rPr>
        <w:t xml:space="preserve">&lt;0.01 respectively. The adjusted models </w:t>
      </w:r>
      <w:proofErr w:type="gramStart"/>
      <w:r>
        <w:rPr>
          <w:rFonts w:ascii="Times New Roman" w:hAnsi="Times New Roman" w:cs="Times New Roman"/>
          <w:lang w:val="en-US"/>
        </w:rPr>
        <w:t xml:space="preserve">include </w:t>
      </w:r>
      <w:r w:rsidRPr="002B1F4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age</w:t>
      </w:r>
      <w:proofErr w:type="gramEnd"/>
      <w:r>
        <w:rPr>
          <w:rFonts w:ascii="Times New Roman" w:hAnsi="Times New Roman" w:cs="Times New Roman"/>
          <w:lang w:val="en-US"/>
        </w:rPr>
        <w:t>, sex, ethnicity, SES,</w:t>
      </w:r>
      <w:r w:rsidRPr="002B1F43">
        <w:rPr>
          <w:rFonts w:ascii="Times New Roman" w:hAnsi="Times New Roman" w:cs="Times New Roman"/>
          <w:lang w:val="en-US"/>
        </w:rPr>
        <w:t xml:space="preserve"> smoking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eastAsia="Arial Unicode MS" w:hAnsi="Times New Roman" w:cs="Times New Roman"/>
          <w:szCs w:val="24"/>
          <w:lang w:val="en-US"/>
        </w:rPr>
        <w:t xml:space="preserve">alcohol consumption, occupation, BMI, </w:t>
      </w:r>
      <w:proofErr w:type="spellStart"/>
      <w:r>
        <w:rPr>
          <w:rFonts w:ascii="Times New Roman" w:eastAsia="Arial Unicode MS" w:hAnsi="Times New Roman" w:cs="Times New Roman"/>
          <w:szCs w:val="24"/>
          <w:lang w:val="en-US"/>
        </w:rPr>
        <w:t>hypertenstion</w:t>
      </w:r>
      <w:proofErr w:type="spellEnd"/>
      <w:r>
        <w:rPr>
          <w:rFonts w:ascii="Times New Roman" w:eastAsia="Arial Unicode MS" w:hAnsi="Times New Roman" w:cs="Times New Roman"/>
          <w:szCs w:val="24"/>
          <w:lang w:val="en-US"/>
        </w:rPr>
        <w:t xml:space="preserve">, </w:t>
      </w:r>
      <w:r w:rsidRPr="002B1F43">
        <w:rPr>
          <w:rFonts w:ascii="Times New Roman" w:eastAsia="Arial Unicode MS" w:hAnsi="Times New Roman" w:cs="Times New Roman"/>
          <w:szCs w:val="24"/>
          <w:lang w:val="en-US"/>
        </w:rPr>
        <w:t>hypercholesterolemia</w:t>
      </w:r>
      <w:r>
        <w:rPr>
          <w:rFonts w:ascii="Times New Roman" w:eastAsia="Arial Unicode MS" w:hAnsi="Times New Roman" w:cs="Times New Roman"/>
          <w:szCs w:val="24"/>
          <w:lang w:val="en-US"/>
        </w:rPr>
        <w:t>,</w:t>
      </w:r>
      <w:r w:rsidRPr="002B1F43">
        <w:rPr>
          <w:rFonts w:ascii="Times New Roman" w:eastAsia="Arial Unicode MS" w:hAnsi="Times New Roman" w:cs="Times New Roman"/>
          <w:szCs w:val="24"/>
          <w:lang w:val="en-US"/>
        </w:rPr>
        <w:t xml:space="preserve"> molybdenum</w:t>
      </w:r>
      <w:r>
        <w:rPr>
          <w:rFonts w:ascii="Times New Roman" w:eastAsia="Arial Unicode MS" w:hAnsi="Times New Roman" w:cs="Times New Roman"/>
          <w:szCs w:val="24"/>
          <w:lang w:val="en-US"/>
        </w:rPr>
        <w:t xml:space="preserve"> and cobalt </w:t>
      </w:r>
      <w:r w:rsidRPr="002B1F43">
        <w:rPr>
          <w:rFonts w:ascii="Times New Roman" w:eastAsia="Arial Unicode MS" w:hAnsi="Times New Roman" w:cs="Times New Roman"/>
          <w:szCs w:val="24"/>
          <w:lang w:val="en-US"/>
        </w:rPr>
        <w:t>concentration</w:t>
      </w:r>
      <w:r>
        <w:rPr>
          <w:rFonts w:ascii="Times New Roman" w:hAnsi="Times New Roman" w:cs="Times New Roman"/>
          <w:lang w:val="en-US"/>
        </w:rPr>
        <w:t xml:space="preserve"> as covariates</w:t>
      </w:r>
      <w:r w:rsidRPr="002B1F43">
        <w:rPr>
          <w:rFonts w:ascii="Times New Roman" w:hAnsi="Times New Roman" w:cs="Times New Roman"/>
          <w:lang w:val="en-US"/>
        </w:rPr>
        <w:t>.</w:t>
      </w:r>
    </w:p>
    <w:p w:rsidR="007E111C" w:rsidRPr="00051419" w:rsidRDefault="007E111C" w:rsidP="00051419">
      <w:pPr>
        <w:rPr>
          <w:lang w:val="en-US"/>
        </w:rPr>
      </w:pPr>
    </w:p>
    <w:sectPr w:rsidR="007E111C" w:rsidRPr="00051419" w:rsidSect="00A648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68"/>
    <w:rsid w:val="00051419"/>
    <w:rsid w:val="002F6B74"/>
    <w:rsid w:val="00600369"/>
    <w:rsid w:val="006E0424"/>
    <w:rsid w:val="007E111C"/>
    <w:rsid w:val="00813B68"/>
    <w:rsid w:val="00814BE4"/>
    <w:rsid w:val="00A6489E"/>
    <w:rsid w:val="00E3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68"/>
    <w:pPr>
      <w:spacing w:line="36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68"/>
    <w:pPr>
      <w:spacing w:line="36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Tyrrell</dc:creator>
  <cp:lastModifiedBy>Jessica Tyrrell</cp:lastModifiedBy>
  <cp:revision>3</cp:revision>
  <dcterms:created xsi:type="dcterms:W3CDTF">2013-09-18T08:55:00Z</dcterms:created>
  <dcterms:modified xsi:type="dcterms:W3CDTF">2013-10-14T15:10:00Z</dcterms:modified>
</cp:coreProperties>
</file>