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jc w:val="center"/>
        <w:tblBorders>
          <w:left w:val="single" w:sz="18" w:space="0" w:color="000000"/>
        </w:tblBorders>
        <w:tblCellMar>
          <w:left w:w="60" w:type="dxa"/>
          <w:right w:w="60" w:type="dxa"/>
        </w:tblCellMar>
        <w:tblLook w:val="0000" w:firstRow="0" w:lastRow="0" w:firstColumn="0" w:lastColumn="0" w:noHBand="0" w:noVBand="0"/>
      </w:tblPr>
      <w:tblGrid>
        <w:gridCol w:w="3067"/>
        <w:gridCol w:w="2175"/>
        <w:gridCol w:w="2175"/>
        <w:gridCol w:w="2063"/>
      </w:tblGrid>
      <w:tr w:rsidR="005D6631" w:rsidRPr="004B0426" w:rsidTr="00FA66D9">
        <w:trPr>
          <w:cantSplit/>
          <w:tblHeader/>
          <w:jc w:val="center"/>
        </w:trPr>
        <w:tc>
          <w:tcPr>
            <w:tcW w:w="5000" w:type="pct"/>
            <w:gridSpan w:val="4"/>
            <w:tcBorders>
              <w:left w:val="nil"/>
              <w:bottom w:val="single" w:sz="8" w:space="0" w:color="000000"/>
            </w:tcBorders>
            <w:shd w:val="clear" w:color="auto" w:fill="auto"/>
            <w:vAlign w:val="bottom"/>
          </w:tcPr>
          <w:p w:rsidR="005D6631" w:rsidRPr="001764F0" w:rsidRDefault="00F53527" w:rsidP="005D6631">
            <w:pPr>
              <w:keepNext/>
              <w:adjustRightInd w:val="0"/>
              <w:spacing w:before="60" w:after="60"/>
              <w:rPr>
                <w:rFonts w:asciiTheme="minorHAnsi" w:hAnsiTheme="minorHAnsi" w:cstheme="minorHAnsi"/>
                <w:b/>
                <w:bCs/>
                <w:color w:val="000000"/>
                <w:sz w:val="18"/>
                <w:szCs w:val="18"/>
              </w:rPr>
            </w:pPr>
            <w:r>
              <w:rPr>
                <w:rFonts w:asciiTheme="minorHAnsi" w:eastAsia="Times New Roman" w:hAnsiTheme="minorHAnsi" w:cstheme="minorHAnsi"/>
                <w:b/>
                <w:bCs/>
                <w:color w:val="000000"/>
              </w:rPr>
              <w:t>Table S4.    Infectious disease clinical trial attributes by study l</w:t>
            </w:r>
            <w:r w:rsidR="005D6631" w:rsidRPr="001764F0">
              <w:rPr>
                <w:rFonts w:asciiTheme="minorHAnsi" w:eastAsia="Times New Roman" w:hAnsiTheme="minorHAnsi" w:cstheme="minorHAnsi"/>
                <w:b/>
                <w:bCs/>
                <w:color w:val="000000"/>
              </w:rPr>
              <w:t>ocation: U</w:t>
            </w:r>
            <w:r>
              <w:rPr>
                <w:rFonts w:asciiTheme="minorHAnsi" w:eastAsia="Times New Roman" w:hAnsiTheme="minorHAnsi" w:cstheme="minorHAnsi"/>
                <w:b/>
                <w:bCs/>
                <w:color w:val="000000"/>
              </w:rPr>
              <w:t>.</w:t>
            </w:r>
            <w:r w:rsidR="005D6631" w:rsidRPr="001764F0">
              <w:rPr>
                <w:rFonts w:asciiTheme="minorHAnsi" w:eastAsia="Times New Roman" w:hAnsiTheme="minorHAnsi" w:cstheme="minorHAnsi"/>
                <w:b/>
                <w:bCs/>
                <w:color w:val="000000"/>
              </w:rPr>
              <w:t>S</w:t>
            </w:r>
            <w:r>
              <w:rPr>
                <w:rFonts w:asciiTheme="minorHAnsi" w:eastAsia="Times New Roman" w:hAnsiTheme="minorHAnsi" w:cstheme="minorHAnsi"/>
                <w:b/>
                <w:bCs/>
                <w:color w:val="000000"/>
              </w:rPr>
              <w:t>.</w:t>
            </w:r>
            <w:r w:rsidR="005D6631" w:rsidRPr="001764F0">
              <w:rPr>
                <w:rFonts w:asciiTheme="minorHAnsi" w:eastAsia="Times New Roman" w:hAnsiTheme="minorHAnsi" w:cstheme="minorHAnsi"/>
                <w:b/>
                <w:bCs/>
                <w:color w:val="000000"/>
              </w:rPr>
              <w:t>, Non-U</w:t>
            </w:r>
            <w:r>
              <w:rPr>
                <w:rFonts w:asciiTheme="minorHAnsi" w:eastAsia="Times New Roman" w:hAnsiTheme="minorHAnsi" w:cstheme="minorHAnsi"/>
                <w:b/>
                <w:bCs/>
                <w:color w:val="000000"/>
              </w:rPr>
              <w:t>.</w:t>
            </w:r>
            <w:r w:rsidR="005D6631" w:rsidRPr="001764F0">
              <w:rPr>
                <w:rFonts w:asciiTheme="minorHAnsi" w:eastAsia="Times New Roman" w:hAnsiTheme="minorHAnsi" w:cstheme="minorHAnsi"/>
                <w:b/>
                <w:bCs/>
                <w:color w:val="000000"/>
              </w:rPr>
              <w:t>S</w:t>
            </w:r>
            <w:r>
              <w:rPr>
                <w:rFonts w:asciiTheme="minorHAnsi" w:eastAsia="Times New Roman" w:hAnsiTheme="minorHAnsi" w:cstheme="minorHAnsi"/>
                <w:b/>
                <w:bCs/>
                <w:color w:val="000000"/>
              </w:rPr>
              <w:t>., and</w:t>
            </w:r>
            <w:r w:rsidR="005D6631" w:rsidRPr="001764F0">
              <w:rPr>
                <w:rFonts w:asciiTheme="minorHAnsi" w:eastAsia="Times New Roman" w:hAnsiTheme="minorHAnsi" w:cstheme="minorHAnsi"/>
                <w:b/>
                <w:bCs/>
                <w:color w:val="000000"/>
              </w:rPr>
              <w:t xml:space="preserve"> Both.</w:t>
            </w:r>
          </w:p>
        </w:tc>
      </w:tr>
      <w:tr w:rsidR="00686571" w:rsidRPr="004B0426" w:rsidTr="00FA66D9">
        <w:trPr>
          <w:cantSplit/>
          <w:tblHeader/>
          <w:jc w:val="center"/>
        </w:trPr>
        <w:tc>
          <w:tcPr>
            <w:tcW w:w="1618" w:type="pct"/>
            <w:tcBorders>
              <w:top w:val="single" w:sz="8" w:space="0" w:color="000000"/>
            </w:tcBorders>
            <w:shd w:val="clear" w:color="auto" w:fill="auto"/>
            <w:vAlign w:val="bottom"/>
          </w:tcPr>
          <w:p w:rsidR="00686571" w:rsidRPr="004B0426" w:rsidRDefault="00686571" w:rsidP="004B0426">
            <w:pPr>
              <w:keepNext/>
              <w:adjustRightInd w:val="0"/>
              <w:spacing w:before="60" w:after="60"/>
              <w:jc w:val="center"/>
              <w:rPr>
                <w:rFonts w:cs="Calibri"/>
                <w:b/>
                <w:bCs/>
                <w:color w:val="000000"/>
                <w:sz w:val="18"/>
                <w:szCs w:val="18"/>
              </w:rPr>
            </w:pPr>
          </w:p>
        </w:tc>
        <w:tc>
          <w:tcPr>
            <w:tcW w:w="3382" w:type="pct"/>
            <w:gridSpan w:val="3"/>
            <w:tcBorders>
              <w:top w:val="single" w:sz="8" w:space="0" w:color="000000"/>
              <w:bottom w:val="single" w:sz="8" w:space="0" w:color="000000"/>
            </w:tcBorders>
            <w:shd w:val="clear" w:color="auto" w:fill="auto"/>
            <w:vAlign w:val="bottom"/>
          </w:tcPr>
          <w:p w:rsidR="00686571" w:rsidRPr="004B0426" w:rsidRDefault="00686571"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Study Location</w:t>
            </w:r>
          </w:p>
        </w:tc>
      </w:tr>
      <w:tr w:rsidR="00686571" w:rsidRPr="004B0426" w:rsidTr="00FA66D9">
        <w:trPr>
          <w:cantSplit/>
          <w:tblHeader/>
          <w:jc w:val="center"/>
        </w:trPr>
        <w:tc>
          <w:tcPr>
            <w:tcW w:w="1618" w:type="pct"/>
            <w:tcBorders>
              <w:bottom w:val="single" w:sz="8" w:space="0" w:color="000000"/>
            </w:tcBorders>
            <w:shd w:val="clear" w:color="auto" w:fill="auto"/>
            <w:vAlign w:val="bottom"/>
          </w:tcPr>
          <w:p w:rsidR="00686571" w:rsidRPr="004B0426" w:rsidRDefault="00686571"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Parameter</w:t>
            </w:r>
          </w:p>
        </w:tc>
        <w:tc>
          <w:tcPr>
            <w:tcW w:w="1147" w:type="pct"/>
            <w:tcBorders>
              <w:top w:val="single" w:sz="8" w:space="0" w:color="000000"/>
              <w:bottom w:val="single" w:sz="8" w:space="0" w:color="000000"/>
            </w:tcBorders>
            <w:shd w:val="clear" w:color="auto" w:fill="auto"/>
            <w:vAlign w:val="bottom"/>
          </w:tcPr>
          <w:p w:rsidR="00686571" w:rsidRPr="004B0426" w:rsidRDefault="00686571"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U</w:t>
            </w:r>
            <w:r w:rsidR="005A112F">
              <w:rPr>
                <w:rFonts w:cs="Calibri"/>
                <w:b/>
                <w:bCs/>
                <w:color w:val="000000"/>
                <w:sz w:val="18"/>
                <w:szCs w:val="18"/>
              </w:rPr>
              <w:t>.</w:t>
            </w:r>
            <w:r w:rsidRPr="004B0426">
              <w:rPr>
                <w:rFonts w:cs="Calibri"/>
                <w:b/>
                <w:bCs/>
                <w:color w:val="000000"/>
                <w:sz w:val="18"/>
                <w:szCs w:val="18"/>
              </w:rPr>
              <w:t>S</w:t>
            </w:r>
            <w:r w:rsidR="005A112F">
              <w:rPr>
                <w:rFonts w:cs="Calibri"/>
                <w:b/>
                <w:bCs/>
                <w:color w:val="000000"/>
                <w:sz w:val="18"/>
                <w:szCs w:val="18"/>
              </w:rPr>
              <w:t>.</w:t>
            </w:r>
            <w:r w:rsidRPr="004B0426">
              <w:rPr>
                <w:rFonts w:cs="Calibri"/>
                <w:b/>
                <w:bCs/>
                <w:color w:val="000000"/>
                <w:sz w:val="18"/>
                <w:szCs w:val="18"/>
              </w:rPr>
              <w:t>-based</w:t>
            </w:r>
          </w:p>
        </w:tc>
        <w:tc>
          <w:tcPr>
            <w:tcW w:w="1147" w:type="pct"/>
            <w:tcBorders>
              <w:top w:val="single" w:sz="8" w:space="0" w:color="000000"/>
              <w:bottom w:val="single" w:sz="8" w:space="0" w:color="000000"/>
            </w:tcBorders>
            <w:shd w:val="clear" w:color="auto" w:fill="auto"/>
            <w:vAlign w:val="bottom"/>
          </w:tcPr>
          <w:p w:rsidR="00686571" w:rsidRPr="004B0426" w:rsidRDefault="00376648" w:rsidP="00376648">
            <w:pPr>
              <w:keepNext/>
              <w:adjustRightInd w:val="0"/>
              <w:spacing w:before="60" w:after="60"/>
              <w:jc w:val="center"/>
              <w:rPr>
                <w:rFonts w:cs="Calibri"/>
                <w:b/>
                <w:bCs/>
                <w:color w:val="000000"/>
                <w:sz w:val="18"/>
                <w:szCs w:val="18"/>
              </w:rPr>
            </w:pPr>
            <w:r>
              <w:rPr>
                <w:rFonts w:cs="Calibri"/>
                <w:b/>
                <w:bCs/>
                <w:color w:val="000000"/>
                <w:sz w:val="18"/>
                <w:szCs w:val="18"/>
              </w:rPr>
              <w:t>Non-U</w:t>
            </w:r>
            <w:r w:rsidR="005A112F">
              <w:rPr>
                <w:rFonts w:cs="Calibri"/>
                <w:b/>
                <w:bCs/>
                <w:color w:val="000000"/>
                <w:sz w:val="18"/>
                <w:szCs w:val="18"/>
              </w:rPr>
              <w:t>.</w:t>
            </w:r>
            <w:r>
              <w:rPr>
                <w:rFonts w:cs="Calibri"/>
                <w:b/>
                <w:bCs/>
                <w:color w:val="000000"/>
                <w:sz w:val="18"/>
                <w:szCs w:val="18"/>
              </w:rPr>
              <w:t>S</w:t>
            </w:r>
            <w:r w:rsidR="005A112F">
              <w:rPr>
                <w:rFonts w:cs="Calibri"/>
                <w:b/>
                <w:bCs/>
                <w:color w:val="000000"/>
                <w:sz w:val="18"/>
                <w:szCs w:val="18"/>
              </w:rPr>
              <w:t>.</w:t>
            </w:r>
            <w:r w:rsidR="00686571" w:rsidRPr="004B0426">
              <w:rPr>
                <w:rFonts w:cs="Calibri"/>
                <w:b/>
                <w:bCs/>
                <w:color w:val="000000"/>
                <w:sz w:val="18"/>
                <w:szCs w:val="18"/>
              </w:rPr>
              <w:t>-based</w:t>
            </w:r>
          </w:p>
        </w:tc>
        <w:tc>
          <w:tcPr>
            <w:tcW w:w="1087" w:type="pct"/>
            <w:tcBorders>
              <w:top w:val="single" w:sz="8" w:space="0" w:color="000000"/>
              <w:bottom w:val="single" w:sz="8" w:space="0" w:color="000000"/>
            </w:tcBorders>
            <w:shd w:val="clear" w:color="auto" w:fill="auto"/>
            <w:vAlign w:val="bottom"/>
          </w:tcPr>
          <w:p w:rsidR="00686571" w:rsidRPr="004B0426" w:rsidRDefault="00686571" w:rsidP="004B0426">
            <w:pPr>
              <w:keepNext/>
              <w:adjustRightInd w:val="0"/>
              <w:spacing w:before="60" w:after="60"/>
              <w:jc w:val="center"/>
              <w:rPr>
                <w:rFonts w:cs="Calibri"/>
                <w:b/>
                <w:bCs/>
                <w:color w:val="000000"/>
                <w:sz w:val="18"/>
                <w:szCs w:val="18"/>
              </w:rPr>
            </w:pPr>
            <w:r w:rsidRPr="004B0426">
              <w:rPr>
                <w:rFonts w:cs="Calibri"/>
                <w:b/>
                <w:bCs/>
                <w:color w:val="000000"/>
                <w:sz w:val="18"/>
                <w:szCs w:val="18"/>
              </w:rPr>
              <w:t>Both</w:t>
            </w:r>
          </w:p>
        </w:tc>
      </w:tr>
      <w:tr w:rsidR="00686571" w:rsidRPr="004B0426" w:rsidTr="00FA66D9">
        <w:trPr>
          <w:cantSplit/>
          <w:jc w:val="center"/>
        </w:trPr>
        <w:tc>
          <w:tcPr>
            <w:tcW w:w="1618"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Primary purpose, N</w:t>
            </w:r>
          </w:p>
        </w:tc>
        <w:tc>
          <w:tcPr>
            <w:tcW w:w="1147"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1026</w:t>
            </w:r>
          </w:p>
        </w:tc>
        <w:tc>
          <w:tcPr>
            <w:tcW w:w="1147"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1815</w:t>
            </w:r>
          </w:p>
        </w:tc>
        <w:tc>
          <w:tcPr>
            <w:tcW w:w="1087"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236</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Treatment</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537 (52.3%)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881 (48.5%)</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182 (77.1%)</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Prevention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371 (36.2%)</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775 (42.7%)</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50 (21.2%)</w:t>
            </w:r>
          </w:p>
        </w:tc>
      </w:tr>
      <w:tr w:rsidR="00686571" w:rsidRPr="004B0426" w:rsidTr="00FA66D9">
        <w:trPr>
          <w:cantSplit/>
          <w:jc w:val="center"/>
        </w:trPr>
        <w:tc>
          <w:tcPr>
            <w:tcW w:w="1618" w:type="pct"/>
            <w:shd w:val="clear" w:color="auto" w:fill="auto"/>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Other p</w:t>
            </w:r>
            <w:r w:rsidR="00686571" w:rsidRPr="004B0426">
              <w:rPr>
                <w:rFonts w:cs="Calibri"/>
                <w:color w:val="000000"/>
                <w:sz w:val="18"/>
                <w:szCs w:val="18"/>
              </w:rPr>
              <w:t>urpose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118 (11.5%)</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159 (8.8%)</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 (1.7%)</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Intervention type,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Drug</w:t>
            </w:r>
          </w:p>
        </w:tc>
        <w:tc>
          <w:tcPr>
            <w:tcW w:w="1147" w:type="pct"/>
            <w:shd w:val="clear" w:color="auto" w:fill="auto"/>
          </w:tcPr>
          <w:p w:rsidR="00686571" w:rsidRPr="004B0426" w:rsidRDefault="00686571" w:rsidP="00376648">
            <w:pPr>
              <w:adjustRightInd w:val="0"/>
              <w:spacing w:before="60" w:after="60"/>
              <w:jc w:val="center"/>
              <w:rPr>
                <w:rFonts w:cs="Calibri"/>
                <w:color w:val="000000"/>
                <w:sz w:val="18"/>
                <w:szCs w:val="18"/>
              </w:rPr>
            </w:pPr>
            <w:r w:rsidRPr="004B0426">
              <w:rPr>
                <w:rFonts w:cs="Calibri"/>
                <w:color w:val="000000"/>
                <w:sz w:val="18"/>
                <w:szCs w:val="18"/>
              </w:rPr>
              <w:t>593 (53.9%)</w:t>
            </w:r>
          </w:p>
        </w:tc>
        <w:tc>
          <w:tcPr>
            <w:tcW w:w="1147" w:type="pct"/>
            <w:shd w:val="clear" w:color="auto" w:fill="auto"/>
          </w:tcPr>
          <w:p w:rsidR="00686571" w:rsidRPr="004B0426" w:rsidRDefault="00376648" w:rsidP="00376648">
            <w:pPr>
              <w:adjustRightInd w:val="0"/>
              <w:spacing w:before="60" w:after="60"/>
              <w:jc w:val="center"/>
              <w:rPr>
                <w:rFonts w:cs="Calibri"/>
                <w:color w:val="000000"/>
                <w:sz w:val="18"/>
                <w:szCs w:val="18"/>
              </w:rPr>
            </w:pPr>
            <w:r>
              <w:rPr>
                <w:rFonts w:cs="Calibri"/>
                <w:color w:val="000000"/>
                <w:sz w:val="18"/>
                <w:szCs w:val="18"/>
              </w:rPr>
              <w:t xml:space="preserve">958 </w:t>
            </w:r>
            <w:r w:rsidR="00686571" w:rsidRPr="004B0426">
              <w:rPr>
                <w:rFonts w:cs="Calibri"/>
                <w:color w:val="000000"/>
                <w:sz w:val="18"/>
                <w:szCs w:val="18"/>
              </w:rPr>
              <w:t>(50.5%)</w:t>
            </w:r>
          </w:p>
        </w:tc>
        <w:tc>
          <w:tcPr>
            <w:tcW w:w="1087" w:type="pct"/>
            <w:shd w:val="clear" w:color="auto" w:fill="auto"/>
          </w:tcPr>
          <w:p w:rsidR="00686571" w:rsidRPr="004B0426" w:rsidRDefault="00376648" w:rsidP="00376648">
            <w:pPr>
              <w:adjustRightInd w:val="0"/>
              <w:spacing w:before="60" w:after="60"/>
              <w:jc w:val="center"/>
              <w:rPr>
                <w:rFonts w:cs="Calibri"/>
                <w:color w:val="000000"/>
                <w:sz w:val="18"/>
                <w:szCs w:val="18"/>
              </w:rPr>
            </w:pPr>
            <w:r>
              <w:rPr>
                <w:rFonts w:cs="Calibri"/>
                <w:color w:val="000000"/>
                <w:sz w:val="18"/>
                <w:szCs w:val="18"/>
              </w:rPr>
              <w:t xml:space="preserve">179 </w:t>
            </w:r>
            <w:r w:rsidR="00686571" w:rsidRPr="004B0426">
              <w:rPr>
                <w:rFonts w:cs="Calibri"/>
                <w:color w:val="000000"/>
                <w:sz w:val="18"/>
                <w:szCs w:val="18"/>
              </w:rPr>
              <w:t>(74.3%)</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Procedure</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47 (4.3%)</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88 (4.6%)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 (0.4%)</w:t>
            </w:r>
          </w:p>
        </w:tc>
      </w:tr>
      <w:tr w:rsidR="00686571" w:rsidRPr="004B0426" w:rsidTr="00FA66D9">
        <w:trPr>
          <w:cantSplit/>
          <w:trHeight w:val="450"/>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Biological/vaccine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267 (24.3%)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592 (31.2%)</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56 (23.2%)</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Behavioral</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125 (11.4%)</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68 (3.6%)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 (2.1%)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Device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34 (3.1%)</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56 (3.0%)</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 (0.8%)</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Other intervention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154 (14.0%)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269 (14.2%)</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 (4.6%)</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Vaccine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256 (23.3%)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577 (30.4%)</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45 (18.7%)</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Lead sponsor,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Industry</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384 (34.9%)</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724 (38.2%)</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204 (84.6%)</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NIH</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160 (14.5%)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25 (1.3%)</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16 (6.6%)</w:t>
            </w:r>
          </w:p>
        </w:tc>
      </w:tr>
      <w:tr w:rsidR="00686571" w:rsidRPr="004B0426" w:rsidTr="00FA66D9">
        <w:trPr>
          <w:cantSplit/>
          <w:jc w:val="center"/>
        </w:trPr>
        <w:tc>
          <w:tcPr>
            <w:tcW w:w="1618" w:type="pct"/>
            <w:shd w:val="clear" w:color="auto" w:fill="auto"/>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U.S. federal</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46 (4.2%)</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20 (1.1%)</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 (1.2%)</w:t>
            </w:r>
          </w:p>
        </w:tc>
      </w:tr>
      <w:tr w:rsidR="00686571" w:rsidRPr="004B0426" w:rsidTr="00FA66D9">
        <w:trPr>
          <w:cantSplit/>
          <w:jc w:val="center"/>
        </w:trPr>
        <w:tc>
          <w:tcPr>
            <w:tcW w:w="1618" w:type="pct"/>
            <w:shd w:val="clear" w:color="auto" w:fill="F2F2F2" w:themeFill="background1" w:themeFillShade="F2"/>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Govt.-non-U</w:t>
            </w:r>
            <w:r w:rsidR="00F53527">
              <w:rPr>
                <w:rFonts w:cs="Calibri"/>
                <w:color w:val="000000"/>
                <w:sz w:val="18"/>
                <w:szCs w:val="18"/>
              </w:rPr>
              <w:t>.</w:t>
            </w:r>
            <w:r>
              <w:rPr>
                <w:rFonts w:cs="Calibri"/>
                <w:color w:val="000000"/>
                <w:sz w:val="18"/>
                <w:szCs w:val="18"/>
              </w:rPr>
              <w:t>S</w:t>
            </w:r>
            <w:r w:rsidR="00F53527">
              <w:rPr>
                <w:rFonts w:cs="Calibri"/>
                <w:color w:val="000000"/>
                <w:sz w:val="18"/>
                <w:szCs w:val="18"/>
              </w:rPr>
              <w:t>.</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92 (4.9%)</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 (0.4%)</w:t>
            </w:r>
          </w:p>
        </w:tc>
      </w:tr>
      <w:tr w:rsidR="00686571" w:rsidRPr="004B0426" w:rsidTr="00FA66D9">
        <w:trPr>
          <w:cantSplit/>
          <w:jc w:val="center"/>
        </w:trPr>
        <w:tc>
          <w:tcPr>
            <w:tcW w:w="1618" w:type="pct"/>
            <w:shd w:val="clear" w:color="auto" w:fill="auto"/>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Acad./h</w:t>
            </w:r>
            <w:r w:rsidR="00686571" w:rsidRPr="004B0426">
              <w:rPr>
                <w:rFonts w:cs="Calibri"/>
                <w:color w:val="000000"/>
                <w:sz w:val="18"/>
                <w:szCs w:val="18"/>
              </w:rPr>
              <w:t>osp.</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421 (38.3%)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819 (43.2%)</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 (4.1%)</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Consortium</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 (1.6%)</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86 (4.5%)</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 (2.1%)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Other</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71 (6.5%)</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130 (6.9%)</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 (0.8%)</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Funding source,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Industry</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505 (45.9%)</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868 (45.8%)</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206 (85.5%)</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NIH</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254 (23.1%)</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55 (2.9%)</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 (10.8%)</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Other</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341 (31.0%)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973 (51.3%)</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 (3.7%)</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Trial facility,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Single facility</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687 (62.5%)</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1214 (64.0%)</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Multiple facilities</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413 (37.5%)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682 (36.0%)</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 (100.0%)</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Enrol</w:t>
            </w:r>
            <w:r w:rsidR="009070D3">
              <w:rPr>
                <w:rFonts w:cs="Calibri"/>
                <w:color w:val="000000"/>
                <w:sz w:val="18"/>
                <w:szCs w:val="18"/>
              </w:rPr>
              <w:t>l</w:t>
            </w:r>
            <w:r w:rsidRPr="004B0426">
              <w:rPr>
                <w:rFonts w:cs="Calibri"/>
                <w:color w:val="000000"/>
                <w:sz w:val="18"/>
                <w:szCs w:val="18"/>
              </w:rPr>
              <w:t>ment, N</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1093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1869</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F03199">
            <w:pPr>
              <w:adjustRightInd w:val="0"/>
              <w:spacing w:before="60" w:after="60"/>
              <w:ind w:firstLine="180"/>
              <w:rPr>
                <w:rFonts w:cs="Calibri"/>
                <w:color w:val="000000"/>
                <w:sz w:val="18"/>
                <w:szCs w:val="18"/>
              </w:rPr>
            </w:pPr>
            <w:r w:rsidRPr="004B0426">
              <w:rPr>
                <w:rFonts w:cs="Calibri"/>
                <w:color w:val="000000"/>
                <w:sz w:val="18"/>
                <w:szCs w:val="18"/>
              </w:rPr>
              <w:t>Median (IQR)</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75 (32, 260)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150 (52, 408)</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210 (82, 520)</w:t>
            </w:r>
          </w:p>
        </w:tc>
      </w:tr>
      <w:tr w:rsidR="00686571" w:rsidRPr="004B0426" w:rsidTr="00F03199">
        <w:trPr>
          <w:cantSplit/>
          <w:jc w:val="center"/>
        </w:trPr>
        <w:tc>
          <w:tcPr>
            <w:tcW w:w="1618" w:type="pct"/>
            <w:tcBorders>
              <w:bottom w:val="nil"/>
            </w:tcBorders>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Sex/age, N</w:t>
            </w:r>
          </w:p>
        </w:tc>
        <w:tc>
          <w:tcPr>
            <w:tcW w:w="1147" w:type="pct"/>
            <w:tcBorders>
              <w:bottom w:val="nil"/>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tcBorders>
              <w:bottom w:val="nil"/>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tcBorders>
              <w:bottom w:val="nil"/>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03199">
        <w:trPr>
          <w:cantSplit/>
          <w:jc w:val="center"/>
        </w:trPr>
        <w:tc>
          <w:tcPr>
            <w:tcW w:w="1618"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Female</w:t>
            </w:r>
          </w:p>
        </w:tc>
        <w:tc>
          <w:tcPr>
            <w:tcW w:w="1147"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76 (6.9%)</w:t>
            </w:r>
          </w:p>
        </w:tc>
        <w:tc>
          <w:tcPr>
            <w:tcW w:w="1147"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120 (6.3%)</w:t>
            </w:r>
          </w:p>
        </w:tc>
        <w:tc>
          <w:tcPr>
            <w:tcW w:w="1087"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12 (5.0%)</w:t>
            </w:r>
          </w:p>
        </w:tc>
      </w:tr>
      <w:tr w:rsidR="00686571" w:rsidRPr="004B0426" w:rsidTr="00F03199">
        <w:trPr>
          <w:cantSplit/>
          <w:jc w:val="center"/>
        </w:trPr>
        <w:tc>
          <w:tcPr>
            <w:tcW w:w="1618" w:type="pct"/>
            <w:tcBorders>
              <w:top w:val="single" w:sz="8" w:space="0" w:color="000000"/>
            </w:tcBorders>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lastRenderedPageBreak/>
              <w:t xml:space="preserve">    Male</w:t>
            </w:r>
          </w:p>
        </w:tc>
        <w:tc>
          <w:tcPr>
            <w:tcW w:w="1147" w:type="pct"/>
            <w:tcBorders>
              <w:top w:val="single" w:sz="8" w:space="0" w:color="000000"/>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39 (3.5%)</w:t>
            </w:r>
          </w:p>
        </w:tc>
        <w:tc>
          <w:tcPr>
            <w:tcW w:w="1147" w:type="pct"/>
            <w:tcBorders>
              <w:top w:val="single" w:sz="8" w:space="0" w:color="000000"/>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63 (3.3%)</w:t>
            </w:r>
          </w:p>
        </w:tc>
        <w:tc>
          <w:tcPr>
            <w:tcW w:w="1087" w:type="pct"/>
            <w:tcBorders>
              <w:top w:val="single" w:sz="8" w:space="0" w:color="000000"/>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 (0.8%)</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Both</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985 (89.5%)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1713 (90.3%)</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227 (94.2%)</w:t>
            </w:r>
          </w:p>
        </w:tc>
      </w:tr>
      <w:tr w:rsidR="00686571" w:rsidRPr="004B0426" w:rsidTr="00FA66D9">
        <w:trPr>
          <w:cantSplit/>
          <w:jc w:val="center"/>
        </w:trPr>
        <w:tc>
          <w:tcPr>
            <w:tcW w:w="1618" w:type="pct"/>
            <w:shd w:val="clear" w:color="auto" w:fill="auto"/>
          </w:tcPr>
          <w:p w:rsidR="00686571" w:rsidRPr="004B0426" w:rsidRDefault="00686571" w:rsidP="009070D3">
            <w:pPr>
              <w:adjustRightInd w:val="0"/>
              <w:spacing w:before="60" w:after="60"/>
              <w:rPr>
                <w:rFonts w:cs="Calibri"/>
                <w:color w:val="000000"/>
                <w:sz w:val="18"/>
                <w:szCs w:val="18"/>
              </w:rPr>
            </w:pPr>
            <w:r w:rsidRPr="004B0426">
              <w:rPr>
                <w:rFonts w:cs="Calibri"/>
                <w:color w:val="000000"/>
                <w:sz w:val="18"/>
                <w:szCs w:val="18"/>
              </w:rPr>
              <w:t xml:space="preserve">    </w:t>
            </w:r>
            <w:r w:rsidR="009070D3">
              <w:rPr>
                <w:rFonts w:cs="Calibri"/>
                <w:color w:val="000000"/>
                <w:sz w:val="18"/>
                <w:szCs w:val="18"/>
              </w:rPr>
              <w:t>Restricted to</w:t>
            </w:r>
            <w:r w:rsidR="009070D3" w:rsidRPr="004B0426">
              <w:rPr>
                <w:rFonts w:cs="Calibri"/>
                <w:color w:val="000000"/>
                <w:sz w:val="18"/>
                <w:szCs w:val="18"/>
              </w:rPr>
              <w:t xml:space="preserve"> </w:t>
            </w:r>
            <w:r w:rsidRPr="004B0426">
              <w:rPr>
                <w:rFonts w:cs="Calibri"/>
                <w:color w:val="000000"/>
                <w:sz w:val="18"/>
                <w:szCs w:val="18"/>
              </w:rPr>
              <w:t>children</w:t>
            </w:r>
            <w:r w:rsidR="00117018" w:rsidRPr="00117018">
              <w:rPr>
                <w:rFonts w:cs="Calibri"/>
                <w:color w:val="000000"/>
                <w:sz w:val="18"/>
                <w:szCs w:val="18"/>
                <w:vertAlign w:val="superscript"/>
              </w:rPr>
              <w:t>a</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116 (10.5%)</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389 (20.5%)</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40 (16.6%)</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Excludes elderly</w:t>
            </w:r>
            <w:r w:rsidR="00117018" w:rsidRPr="00117018">
              <w:rPr>
                <w:rFonts w:cs="Calibri"/>
                <w:color w:val="000000"/>
                <w:sz w:val="18"/>
                <w:szCs w:val="18"/>
                <w:vertAlign w:val="superscript"/>
              </w:rPr>
              <w:t>b</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521 (47.4%)</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938 (49.5%)</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96 (39.8%)</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Masking/blinding</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1090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1880</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240</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Open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577 (52.9%)</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1117 (59.4%)</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96 (40.0%)</w:t>
            </w:r>
          </w:p>
        </w:tc>
      </w:tr>
      <w:tr w:rsidR="00686571" w:rsidRPr="004B0426" w:rsidTr="00FA66D9">
        <w:trPr>
          <w:cantSplit/>
          <w:jc w:val="center"/>
        </w:trPr>
        <w:tc>
          <w:tcPr>
            <w:tcW w:w="1618" w:type="pct"/>
            <w:shd w:val="clear" w:color="auto" w:fill="auto"/>
          </w:tcPr>
          <w:p w:rsidR="00686571" w:rsidRPr="004B0426" w:rsidRDefault="005A112F" w:rsidP="004B0426">
            <w:pPr>
              <w:adjustRightInd w:val="0"/>
              <w:spacing w:before="60" w:after="60"/>
              <w:rPr>
                <w:rFonts w:cs="Calibri"/>
                <w:color w:val="000000"/>
                <w:sz w:val="18"/>
                <w:szCs w:val="18"/>
              </w:rPr>
            </w:pPr>
            <w:r>
              <w:rPr>
                <w:rFonts w:cs="Calibri"/>
                <w:color w:val="000000"/>
                <w:sz w:val="18"/>
                <w:szCs w:val="18"/>
              </w:rPr>
              <w:t xml:space="preserve">    Single-b</w:t>
            </w:r>
            <w:r w:rsidR="00686571" w:rsidRPr="004B0426">
              <w:rPr>
                <w:rFonts w:cs="Calibri"/>
                <w:color w:val="000000"/>
                <w:sz w:val="18"/>
                <w:szCs w:val="18"/>
              </w:rPr>
              <w:t>lind</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101 (9.3%)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180 (9.6%)</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 (5.4%)</w:t>
            </w:r>
          </w:p>
        </w:tc>
      </w:tr>
      <w:tr w:rsidR="00686571" w:rsidRPr="004B0426" w:rsidTr="00FA66D9">
        <w:trPr>
          <w:cantSplit/>
          <w:jc w:val="center"/>
        </w:trPr>
        <w:tc>
          <w:tcPr>
            <w:tcW w:w="1618" w:type="pct"/>
            <w:shd w:val="clear" w:color="auto" w:fill="F2F2F2" w:themeFill="background1" w:themeFillShade="F2"/>
          </w:tcPr>
          <w:p w:rsidR="00686571" w:rsidRPr="004B0426" w:rsidRDefault="005A112F" w:rsidP="004B0426">
            <w:pPr>
              <w:adjustRightInd w:val="0"/>
              <w:spacing w:before="60" w:after="60"/>
              <w:rPr>
                <w:rFonts w:cs="Calibri"/>
                <w:color w:val="000000"/>
                <w:sz w:val="18"/>
                <w:szCs w:val="18"/>
              </w:rPr>
            </w:pPr>
            <w:r>
              <w:rPr>
                <w:rFonts w:cs="Calibri"/>
                <w:color w:val="000000"/>
                <w:sz w:val="18"/>
                <w:szCs w:val="18"/>
              </w:rPr>
              <w:t xml:space="preserve">    Double-b</w:t>
            </w:r>
            <w:r w:rsidR="00686571" w:rsidRPr="004B0426">
              <w:rPr>
                <w:rFonts w:cs="Calibri"/>
                <w:color w:val="000000"/>
                <w:sz w:val="18"/>
                <w:szCs w:val="18"/>
              </w:rPr>
              <w:t>lind</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412 (37.8%)</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583 (31.0%)</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131 (54.6%)</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Allocation, N</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1078</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1860</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238</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Randomized</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761 (70.6%)</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1383 (74.4%)</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185 (77.7%)</w:t>
            </w:r>
          </w:p>
        </w:tc>
      </w:tr>
      <w:tr w:rsidR="00686571" w:rsidRPr="004B0426" w:rsidTr="00FA66D9">
        <w:trPr>
          <w:cantSplit/>
          <w:jc w:val="center"/>
        </w:trPr>
        <w:tc>
          <w:tcPr>
            <w:tcW w:w="1618" w:type="pct"/>
            <w:shd w:val="clear" w:color="auto" w:fill="auto"/>
          </w:tcPr>
          <w:p w:rsidR="00686571" w:rsidRPr="004B0426" w:rsidRDefault="005A112F" w:rsidP="004B0426">
            <w:pPr>
              <w:adjustRightInd w:val="0"/>
              <w:spacing w:before="60" w:after="60"/>
              <w:rPr>
                <w:rFonts w:cs="Calibri"/>
                <w:color w:val="000000"/>
                <w:sz w:val="18"/>
                <w:szCs w:val="18"/>
              </w:rPr>
            </w:pPr>
            <w:r>
              <w:rPr>
                <w:rFonts w:cs="Calibri"/>
                <w:color w:val="000000"/>
                <w:sz w:val="18"/>
                <w:szCs w:val="18"/>
              </w:rPr>
              <w:t xml:space="preserve">    Nonr</w:t>
            </w:r>
            <w:r w:rsidR="00686571" w:rsidRPr="004B0426">
              <w:rPr>
                <w:rFonts w:cs="Calibri"/>
                <w:color w:val="000000"/>
                <w:sz w:val="18"/>
                <w:szCs w:val="18"/>
              </w:rPr>
              <w:t>andomized</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317 (29.4%)</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477 (25.6%)</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53 (22.3%)</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Number of arms,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1087</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1856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238</w:t>
            </w:r>
          </w:p>
        </w:tc>
      </w:tr>
      <w:tr w:rsidR="00686571" w:rsidRPr="004B0426" w:rsidTr="00FA66D9">
        <w:trPr>
          <w:cantSplit/>
          <w:jc w:val="center"/>
        </w:trPr>
        <w:tc>
          <w:tcPr>
            <w:tcW w:w="1618" w:type="pct"/>
            <w:shd w:val="clear" w:color="auto" w:fill="auto"/>
          </w:tcPr>
          <w:p w:rsidR="00686571" w:rsidRPr="004B0426" w:rsidRDefault="00686571" w:rsidP="00F03199">
            <w:pPr>
              <w:adjustRightInd w:val="0"/>
              <w:spacing w:before="60" w:after="60"/>
              <w:rPr>
                <w:rFonts w:cs="Calibri"/>
                <w:color w:val="000000"/>
                <w:sz w:val="18"/>
                <w:szCs w:val="18"/>
              </w:rPr>
            </w:pPr>
            <w:r w:rsidRPr="004B0426">
              <w:rPr>
                <w:rFonts w:cs="Calibri"/>
                <w:color w:val="000000"/>
                <w:sz w:val="18"/>
                <w:szCs w:val="18"/>
              </w:rPr>
              <w:t xml:space="preserve">    </w:t>
            </w:r>
            <w:r w:rsidR="00F03199">
              <w:rPr>
                <w:rFonts w:cs="Calibri"/>
                <w:color w:val="000000"/>
                <w:sz w:val="18"/>
                <w:szCs w:val="18"/>
              </w:rPr>
              <w:t>One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272 (25.0%)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389 (21.0%)</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41 (17.2%)</w:t>
            </w:r>
          </w:p>
        </w:tc>
      </w:tr>
      <w:tr w:rsidR="00686571" w:rsidRPr="004B0426" w:rsidTr="00FA66D9">
        <w:trPr>
          <w:cantSplit/>
          <w:jc w:val="center"/>
        </w:trPr>
        <w:tc>
          <w:tcPr>
            <w:tcW w:w="1618" w:type="pct"/>
            <w:shd w:val="clear" w:color="auto" w:fill="F2F2F2" w:themeFill="background1" w:themeFillShade="F2"/>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Two</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540 (49.7%)</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973 (52.4%)</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111 (46.6%)</w:t>
            </w:r>
          </w:p>
        </w:tc>
      </w:tr>
      <w:tr w:rsidR="00686571" w:rsidRPr="004B0426" w:rsidTr="00FA66D9">
        <w:trPr>
          <w:cantSplit/>
          <w:jc w:val="center"/>
        </w:trPr>
        <w:tc>
          <w:tcPr>
            <w:tcW w:w="1618" w:type="pct"/>
            <w:shd w:val="clear" w:color="auto" w:fill="auto"/>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Three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139 (12.8%)</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255 (13.7%)</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33 (13.9%)</w:t>
            </w:r>
          </w:p>
        </w:tc>
      </w:tr>
      <w:tr w:rsidR="00686571" w:rsidRPr="004B0426" w:rsidTr="00FA66D9">
        <w:trPr>
          <w:cantSplit/>
          <w:jc w:val="center"/>
        </w:trPr>
        <w:tc>
          <w:tcPr>
            <w:tcW w:w="1618" w:type="pct"/>
            <w:shd w:val="clear" w:color="auto" w:fill="F2F2F2" w:themeFill="background1" w:themeFillShade="F2"/>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Four</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76 (7.0%)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129 (7.0%)</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31 (13.0%)</w:t>
            </w:r>
          </w:p>
        </w:tc>
      </w:tr>
      <w:tr w:rsidR="00686571" w:rsidRPr="004B0426" w:rsidTr="00FA66D9">
        <w:trPr>
          <w:cantSplit/>
          <w:jc w:val="center"/>
        </w:trPr>
        <w:tc>
          <w:tcPr>
            <w:tcW w:w="1618" w:type="pct"/>
            <w:shd w:val="clear" w:color="auto" w:fill="auto"/>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Five or more</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60 (5.5%)</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 (5.9%)</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22 (9.2%)</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Comparator,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985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1779</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232</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Active </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386/985 (39.2%)</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867/1779 (48.7%)</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89/232 (38.4%)</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Placebo </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261/985 (26.5%)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383/1779 (21.5%)</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64/232 (27.6%)</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Phase, N</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 (0.5%)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 (0.4%)</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 (0.4%)</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1</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244 (22.2%)</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192 (10.1%)</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 (7.5%)</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1/Phase 2</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60 (5.5%)</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72 (3.8%)</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 (3.7%)</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2</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243 (22.1%)</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356 (18.8%)</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96 (39.8%)</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2/Phase 3</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21 (1.9%)</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61 (3.2%)</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 (3.3%)</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3</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121 (11.0%)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414 (21.8%)</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86 (35.7%)</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Phase 4</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153 (13.9%)</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439 (23.2%)</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19 (7.9%)</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N/A</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252 (22.9%)</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354 (18.7%)</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 (1.7%)</w:t>
            </w:r>
          </w:p>
        </w:tc>
      </w:tr>
      <w:tr w:rsidR="00686571" w:rsidRPr="004B0426" w:rsidTr="0045595E">
        <w:trPr>
          <w:cantSplit/>
          <w:jc w:val="center"/>
        </w:trPr>
        <w:tc>
          <w:tcPr>
            <w:tcW w:w="1618" w:type="pct"/>
            <w:tcBorders>
              <w:bottom w:val="nil"/>
            </w:tcBorders>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Overall status, N</w:t>
            </w:r>
          </w:p>
        </w:tc>
        <w:tc>
          <w:tcPr>
            <w:tcW w:w="1147" w:type="pct"/>
            <w:tcBorders>
              <w:bottom w:val="nil"/>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tcBorders>
              <w:bottom w:val="nil"/>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tcBorders>
              <w:bottom w:val="nil"/>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45595E">
        <w:trPr>
          <w:cantSplit/>
          <w:jc w:val="center"/>
        </w:trPr>
        <w:tc>
          <w:tcPr>
            <w:tcW w:w="1618" w:type="pct"/>
            <w:tcBorders>
              <w:bottom w:val="single" w:sz="8" w:space="0" w:color="000000"/>
            </w:tcBorders>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Not yet recruiting</w:t>
            </w:r>
          </w:p>
        </w:tc>
        <w:tc>
          <w:tcPr>
            <w:tcW w:w="1147" w:type="pct"/>
            <w:tcBorders>
              <w:bottom w:val="single" w:sz="8" w:space="0" w:color="000000"/>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93 (8.5%)</w:t>
            </w:r>
          </w:p>
        </w:tc>
        <w:tc>
          <w:tcPr>
            <w:tcW w:w="1147" w:type="pct"/>
            <w:tcBorders>
              <w:bottom w:val="single" w:sz="8" w:space="0" w:color="000000"/>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218 (11.5%)</w:t>
            </w:r>
          </w:p>
        </w:tc>
        <w:tc>
          <w:tcPr>
            <w:tcW w:w="1087" w:type="pct"/>
            <w:tcBorders>
              <w:bottom w:val="single" w:sz="8" w:space="0" w:color="000000"/>
            </w:tcBorders>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 (3.3%)</w:t>
            </w:r>
          </w:p>
        </w:tc>
      </w:tr>
      <w:tr w:rsidR="00686571" w:rsidRPr="004B0426" w:rsidTr="0045595E">
        <w:trPr>
          <w:cantSplit/>
          <w:jc w:val="center"/>
        </w:trPr>
        <w:tc>
          <w:tcPr>
            <w:tcW w:w="1618"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lastRenderedPageBreak/>
              <w:t xml:space="preserve">    Recruiting</w:t>
            </w:r>
          </w:p>
        </w:tc>
        <w:tc>
          <w:tcPr>
            <w:tcW w:w="1147"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463 (42.1%)</w:t>
            </w:r>
          </w:p>
        </w:tc>
        <w:tc>
          <w:tcPr>
            <w:tcW w:w="1147"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741 (39.1%)</w:t>
            </w:r>
          </w:p>
        </w:tc>
        <w:tc>
          <w:tcPr>
            <w:tcW w:w="1087" w:type="pct"/>
            <w:tcBorders>
              <w:top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84 (34.9%)</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Active, not recruiting</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173 (15.7%)</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266 (14.0%)</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65 (27.0%)</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Completed</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341 (31.0%)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625 (33.0%)</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74 (30.7%)</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Terminated</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30 (2.7%)</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46 (2.4%)</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 (4.1%)</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DMC,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Has DMC</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360 (32.7%)</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725 (38.2%)</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94 (39.0%)</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No DMC</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558 (50.7%)</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780 (41.1%)</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71 (29.5%)</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DMC missing</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182 (16.5%)</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391 (20.6%)</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76 (31.5%)</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Regional distribution</w:t>
            </w:r>
            <w:r w:rsidR="00117018" w:rsidRPr="00117018">
              <w:rPr>
                <w:rFonts w:cs="Calibri"/>
                <w:color w:val="000000"/>
                <w:sz w:val="18"/>
                <w:szCs w:val="18"/>
                <w:vertAlign w:val="superscript"/>
              </w:rPr>
              <w:t>c</w:t>
            </w:r>
            <w:r w:rsidRPr="004B0426">
              <w:rPr>
                <w:rFonts w:cs="Calibri"/>
                <w:color w:val="000000"/>
                <w:sz w:val="18"/>
                <w:szCs w:val="18"/>
              </w:rPr>
              <w:t>, N</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1896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Africa</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260 (13.7%)</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37 (15.4%)</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Central America</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21 (1.1%)</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91 (37.8%)</w:t>
            </w:r>
          </w:p>
        </w:tc>
      </w:tr>
      <w:tr w:rsidR="00686571" w:rsidRPr="004B0426" w:rsidTr="00FA66D9">
        <w:trPr>
          <w:cantSplit/>
          <w:jc w:val="center"/>
        </w:trPr>
        <w:tc>
          <w:tcPr>
            <w:tcW w:w="1618" w:type="pct"/>
            <w:shd w:val="clear" w:color="auto" w:fill="auto"/>
          </w:tcPr>
          <w:p w:rsidR="00686571" w:rsidRPr="004B0426" w:rsidRDefault="00F03199" w:rsidP="004B0426">
            <w:pPr>
              <w:adjustRightInd w:val="0"/>
              <w:spacing w:before="60" w:after="60"/>
              <w:rPr>
                <w:rFonts w:cs="Calibri"/>
                <w:color w:val="000000"/>
                <w:sz w:val="18"/>
                <w:szCs w:val="18"/>
              </w:rPr>
            </w:pPr>
            <w:r>
              <w:rPr>
                <w:rFonts w:cs="Calibri"/>
                <w:color w:val="000000"/>
                <w:sz w:val="18"/>
                <w:szCs w:val="18"/>
              </w:rPr>
              <w:t xml:space="preserve">    East</w:t>
            </w:r>
            <w:r w:rsidR="00686571" w:rsidRPr="004B0426">
              <w:rPr>
                <w:rFonts w:cs="Calibri"/>
                <w:color w:val="000000"/>
                <w:sz w:val="18"/>
                <w:szCs w:val="18"/>
              </w:rPr>
              <w:t xml:space="preserve"> Asia</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270 (14.2%)</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26 (10.8%)</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Europe</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827 (43.6%)</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113 (46.9%)</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Middle East</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72 (3.8%)</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21 (8.7%)</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North America</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1100 (100.0%)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137 (7.2%)</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241 (100.0%)</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North Asia</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27 (1.4%)</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22 (9.1%)</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Pacifica</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64 (3.4%)</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44 (18.3%)</w:t>
            </w:r>
          </w:p>
        </w:tc>
      </w:tr>
      <w:tr w:rsidR="00686571" w:rsidRPr="004B0426" w:rsidTr="00FA66D9">
        <w:trPr>
          <w:cantSplit/>
          <w:jc w:val="center"/>
        </w:trPr>
        <w:tc>
          <w:tcPr>
            <w:tcW w:w="1618" w:type="pct"/>
            <w:shd w:val="clear" w:color="auto" w:fill="auto"/>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South America</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137 (7.2%)</w:t>
            </w:r>
          </w:p>
        </w:tc>
        <w:tc>
          <w:tcPr>
            <w:tcW w:w="1087" w:type="pct"/>
            <w:shd w:val="clear" w:color="auto" w:fill="auto"/>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52 (21.6%)</w:t>
            </w:r>
          </w:p>
        </w:tc>
      </w:tr>
      <w:tr w:rsidR="00686571" w:rsidRPr="004B0426" w:rsidTr="00FA66D9">
        <w:trPr>
          <w:cantSplit/>
          <w:jc w:val="center"/>
        </w:trPr>
        <w:tc>
          <w:tcPr>
            <w:tcW w:w="1618" w:type="pct"/>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South Asia</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104 (5.5%)</w:t>
            </w:r>
          </w:p>
        </w:tc>
        <w:tc>
          <w:tcPr>
            <w:tcW w:w="1087" w:type="pct"/>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20 (8.3%)</w:t>
            </w:r>
          </w:p>
        </w:tc>
      </w:tr>
      <w:tr w:rsidR="00686571" w:rsidRPr="004B0426" w:rsidTr="00FA66D9">
        <w:trPr>
          <w:cantSplit/>
          <w:jc w:val="center"/>
        </w:trPr>
        <w:tc>
          <w:tcPr>
            <w:tcW w:w="1618" w:type="pct"/>
            <w:tcBorders>
              <w:bottom w:val="nil"/>
            </w:tcBorders>
            <w:shd w:val="clear" w:color="auto" w:fill="auto"/>
          </w:tcPr>
          <w:p w:rsidR="00686571" w:rsidRPr="004B0426" w:rsidRDefault="00686571" w:rsidP="004B0426">
            <w:pPr>
              <w:keepNext/>
              <w:adjustRightInd w:val="0"/>
              <w:spacing w:before="60" w:after="60"/>
              <w:rPr>
                <w:rFonts w:cs="Calibri"/>
                <w:color w:val="000000"/>
                <w:sz w:val="18"/>
                <w:szCs w:val="18"/>
              </w:rPr>
            </w:pPr>
            <w:r w:rsidRPr="004B0426">
              <w:rPr>
                <w:rFonts w:cs="Calibri"/>
                <w:color w:val="000000"/>
                <w:sz w:val="18"/>
                <w:szCs w:val="18"/>
              </w:rPr>
              <w:t xml:space="preserve">    Southeast Asia</w:t>
            </w:r>
          </w:p>
        </w:tc>
        <w:tc>
          <w:tcPr>
            <w:tcW w:w="1147" w:type="pct"/>
            <w:tcBorders>
              <w:bottom w:val="nil"/>
            </w:tcBorders>
            <w:shd w:val="clear" w:color="auto" w:fill="auto"/>
          </w:tcPr>
          <w:p w:rsidR="00686571" w:rsidRPr="004B0426" w:rsidRDefault="00686571" w:rsidP="004B0426">
            <w:pPr>
              <w:keepNext/>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tcBorders>
              <w:bottom w:val="nil"/>
            </w:tcBorders>
            <w:shd w:val="clear" w:color="auto" w:fill="auto"/>
          </w:tcPr>
          <w:p w:rsidR="00686571" w:rsidRPr="004B0426" w:rsidRDefault="00686571" w:rsidP="004B0426">
            <w:pPr>
              <w:keepNext/>
              <w:adjustRightInd w:val="0"/>
              <w:spacing w:before="60" w:after="60"/>
              <w:jc w:val="center"/>
              <w:rPr>
                <w:rFonts w:cs="Calibri"/>
                <w:color w:val="000000"/>
                <w:sz w:val="18"/>
                <w:szCs w:val="18"/>
              </w:rPr>
            </w:pPr>
            <w:r w:rsidRPr="004B0426">
              <w:rPr>
                <w:rFonts w:cs="Calibri"/>
                <w:color w:val="000000"/>
                <w:sz w:val="18"/>
                <w:szCs w:val="18"/>
              </w:rPr>
              <w:t>125 (6.6%)</w:t>
            </w:r>
          </w:p>
        </w:tc>
        <w:tc>
          <w:tcPr>
            <w:tcW w:w="1087" w:type="pct"/>
            <w:tcBorders>
              <w:bottom w:val="nil"/>
            </w:tcBorders>
            <w:shd w:val="clear" w:color="auto" w:fill="auto"/>
          </w:tcPr>
          <w:p w:rsidR="00686571" w:rsidRPr="004B0426" w:rsidRDefault="00686571" w:rsidP="004B0426">
            <w:pPr>
              <w:keepNext/>
              <w:adjustRightInd w:val="0"/>
              <w:spacing w:before="60" w:after="60"/>
              <w:jc w:val="center"/>
              <w:rPr>
                <w:rFonts w:cs="Calibri"/>
                <w:color w:val="000000"/>
                <w:sz w:val="18"/>
                <w:szCs w:val="18"/>
              </w:rPr>
            </w:pPr>
            <w:r w:rsidRPr="004B0426">
              <w:rPr>
                <w:rFonts w:cs="Calibri"/>
                <w:color w:val="000000"/>
                <w:sz w:val="18"/>
                <w:szCs w:val="18"/>
              </w:rPr>
              <w:t>19 (7.9%)</w:t>
            </w:r>
          </w:p>
        </w:tc>
      </w:tr>
      <w:tr w:rsidR="00686571" w:rsidRPr="004B0426" w:rsidTr="00FA66D9">
        <w:trPr>
          <w:cantSplit/>
          <w:jc w:val="center"/>
        </w:trPr>
        <w:tc>
          <w:tcPr>
            <w:tcW w:w="1618"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rPr>
                <w:rFonts w:cs="Calibri"/>
                <w:color w:val="000000"/>
                <w:sz w:val="18"/>
                <w:szCs w:val="18"/>
              </w:rPr>
            </w:pPr>
            <w:r w:rsidRPr="004B0426">
              <w:rPr>
                <w:rFonts w:cs="Calibri"/>
                <w:color w:val="000000"/>
                <w:sz w:val="18"/>
                <w:szCs w:val="18"/>
              </w:rPr>
              <w:t xml:space="preserve">    Unknown</w:t>
            </w:r>
          </w:p>
        </w:tc>
        <w:tc>
          <w:tcPr>
            <w:tcW w:w="1147"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147"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c>
          <w:tcPr>
            <w:tcW w:w="1087" w:type="pct"/>
            <w:tcBorders>
              <w:bottom w:val="single" w:sz="8" w:space="0" w:color="000000"/>
            </w:tcBorders>
            <w:shd w:val="clear" w:color="auto" w:fill="F2F2F2" w:themeFill="background1" w:themeFillShade="F2"/>
          </w:tcPr>
          <w:p w:rsidR="00686571" w:rsidRPr="004B0426" w:rsidRDefault="00686571" w:rsidP="004B0426">
            <w:pPr>
              <w:adjustRightInd w:val="0"/>
              <w:spacing w:before="60" w:after="60"/>
              <w:jc w:val="center"/>
              <w:rPr>
                <w:rFonts w:cs="Calibri"/>
                <w:color w:val="000000"/>
                <w:sz w:val="18"/>
                <w:szCs w:val="18"/>
              </w:rPr>
            </w:pPr>
            <w:r w:rsidRPr="004B0426">
              <w:rPr>
                <w:rFonts w:cs="Calibri"/>
                <w:color w:val="000000"/>
                <w:sz w:val="18"/>
                <w:szCs w:val="18"/>
              </w:rPr>
              <w:t>0 (0.0%)</w:t>
            </w:r>
          </w:p>
        </w:tc>
      </w:tr>
      <w:tr w:rsidR="001764F0" w:rsidRPr="004B0426" w:rsidTr="00FA66D9">
        <w:trPr>
          <w:cantSplit/>
          <w:jc w:val="center"/>
        </w:trPr>
        <w:tc>
          <w:tcPr>
            <w:tcW w:w="5000" w:type="pct"/>
            <w:gridSpan w:val="4"/>
            <w:tcBorders>
              <w:top w:val="single" w:sz="8" w:space="0" w:color="000000"/>
            </w:tcBorders>
            <w:shd w:val="clear" w:color="auto" w:fill="FFFFFF" w:themeFill="background1"/>
          </w:tcPr>
          <w:p w:rsidR="001764F0" w:rsidRPr="0088229A" w:rsidRDefault="001764F0" w:rsidP="001764F0">
            <w:pPr>
              <w:adjustRightInd w:val="0"/>
              <w:spacing w:after="0" w:line="240" w:lineRule="auto"/>
              <w:rPr>
                <w:rFonts w:eastAsia="Times New Roman" w:cs="Calibri"/>
                <w:color w:val="000000"/>
                <w:sz w:val="18"/>
                <w:szCs w:val="18"/>
              </w:rPr>
            </w:pPr>
            <w:r w:rsidRPr="0088229A">
              <w:rPr>
                <w:rFonts w:eastAsia="Times New Roman" w:cs="Calibri"/>
                <w:color w:val="000000"/>
                <w:sz w:val="18"/>
                <w:szCs w:val="18"/>
              </w:rPr>
              <w:t>The denominator for each variable is the number of trials reporting such data. “Other Purpose” includes “Diagnostic,” “Supportive Care,” “Screening,” “Health Services Research,” and “Basic Science.” For “Intervention Type,” the numerator is the number of trials with at least one intervention of this type.  A study with multiple interventions may</w:t>
            </w:r>
            <w:r w:rsidR="00A7123A">
              <w:rPr>
                <w:rFonts w:eastAsia="Times New Roman" w:cs="Calibri"/>
                <w:color w:val="000000"/>
                <w:sz w:val="18"/>
                <w:szCs w:val="18"/>
              </w:rPr>
              <w:t xml:space="preserve"> be represented in more than 1</w:t>
            </w:r>
            <w:r w:rsidRPr="0088229A">
              <w:rPr>
                <w:rFonts w:eastAsia="Times New Roman" w:cs="Calibri"/>
                <w:color w:val="000000"/>
                <w:sz w:val="18"/>
                <w:szCs w:val="18"/>
              </w:rPr>
              <w:t xml:space="preserve"> intervention type; hence cumulative percentage will exceed 100%. “Other Intervention” includes “Radiation,” “Dietary Supplement,” and “Genetic.” The “Comparator” variable identifies the number of trials designating that particular comparator. Since a study may have both a placebo and an active comparator arm, the cumulative percentage may exceed 100%. The “Recruiting” variable under “Overall Status” includes trials recruiting by invitation. “Terminated” includes trials that have been terminated, suspended, or withdrawn. The numerator in the “Regional Distribution” variable is the nu</w:t>
            </w:r>
            <w:r w:rsidR="00A7123A">
              <w:rPr>
                <w:rFonts w:eastAsia="Times New Roman" w:cs="Calibri"/>
                <w:color w:val="000000"/>
                <w:sz w:val="18"/>
                <w:szCs w:val="18"/>
              </w:rPr>
              <w:t>mber of trials with at least 1</w:t>
            </w:r>
            <w:bookmarkStart w:id="0" w:name="_GoBack"/>
            <w:bookmarkEnd w:id="0"/>
            <w:r w:rsidRPr="0088229A">
              <w:rPr>
                <w:rFonts w:eastAsia="Times New Roman" w:cs="Calibri"/>
                <w:color w:val="000000"/>
                <w:sz w:val="18"/>
                <w:szCs w:val="18"/>
              </w:rPr>
              <w:t xml:space="preserve"> study site in that respective region. A multisite study may</w:t>
            </w:r>
            <w:r w:rsidR="00A7123A">
              <w:rPr>
                <w:rFonts w:eastAsia="Times New Roman" w:cs="Calibri"/>
                <w:color w:val="000000"/>
                <w:sz w:val="18"/>
                <w:szCs w:val="18"/>
              </w:rPr>
              <w:t xml:space="preserve"> be represented in more than 1</w:t>
            </w:r>
            <w:r w:rsidRPr="0088229A">
              <w:rPr>
                <w:rFonts w:eastAsia="Times New Roman" w:cs="Calibri"/>
                <w:color w:val="000000"/>
                <w:sz w:val="18"/>
                <w:szCs w:val="18"/>
              </w:rPr>
              <w:t xml:space="preserve"> region; hence, the cumulative percentage will exceed 100%. Abbreviations: DMC, data monitoring committee; IQR, interquartile range; NIH, US National Institutes of Health. </w:t>
            </w:r>
          </w:p>
          <w:p w:rsidR="001764F0" w:rsidRPr="00117018" w:rsidRDefault="001764F0" w:rsidP="00117018">
            <w:pPr>
              <w:adjustRightInd w:val="0"/>
              <w:spacing w:after="0" w:line="240" w:lineRule="auto"/>
              <w:rPr>
                <w:rFonts w:eastAsia="Times New Roman" w:cs="Calibri"/>
                <w:color w:val="000000"/>
                <w:sz w:val="18"/>
                <w:szCs w:val="18"/>
              </w:rPr>
            </w:pPr>
            <w:r w:rsidRPr="0088229A">
              <w:rPr>
                <w:rFonts w:eastAsia="Times New Roman" w:cs="Calibri"/>
                <w:color w:val="000000"/>
                <w:sz w:val="18"/>
                <w:szCs w:val="18"/>
                <w:vertAlign w:val="superscript"/>
              </w:rPr>
              <w:t>a</w:t>
            </w:r>
            <w:r w:rsidRPr="0088229A">
              <w:rPr>
                <w:rFonts w:eastAsia="Times New Roman" w:cs="Calibri"/>
                <w:color w:val="000000"/>
                <w:sz w:val="18"/>
                <w:szCs w:val="18"/>
              </w:rPr>
              <w:t xml:space="preserve">Children defined as </w:t>
            </w:r>
            <w:r>
              <w:rPr>
                <w:rFonts w:eastAsia="Times New Roman" w:cs="Calibri"/>
                <w:color w:val="000000"/>
                <w:sz w:val="18"/>
                <w:szCs w:val="18"/>
              </w:rPr>
              <w:t>≤</w:t>
            </w:r>
            <w:r w:rsidRPr="0088229A">
              <w:rPr>
                <w:rFonts w:eastAsia="Times New Roman" w:cs="Calibri"/>
                <w:color w:val="000000"/>
                <w:sz w:val="18"/>
                <w:szCs w:val="18"/>
              </w:rPr>
              <w:t xml:space="preserve">18 years of age. </w:t>
            </w:r>
            <w:r w:rsidRPr="0088229A">
              <w:rPr>
                <w:rFonts w:eastAsia="Times New Roman" w:cs="Calibri"/>
                <w:color w:val="000000"/>
                <w:sz w:val="18"/>
                <w:szCs w:val="18"/>
                <w:vertAlign w:val="superscript"/>
              </w:rPr>
              <w:t>b</w:t>
            </w:r>
            <w:r w:rsidRPr="0088229A">
              <w:rPr>
                <w:rFonts w:eastAsia="Times New Roman" w:cs="Calibri"/>
                <w:color w:val="000000"/>
                <w:sz w:val="18"/>
                <w:szCs w:val="18"/>
              </w:rPr>
              <w:t xml:space="preserve">Elderly defined as &gt;65 years of age. </w:t>
            </w:r>
            <w:r w:rsidRPr="0088229A">
              <w:rPr>
                <w:rFonts w:eastAsia="Times New Roman" w:cs="Calibri"/>
                <w:color w:val="000000"/>
                <w:sz w:val="18"/>
                <w:szCs w:val="18"/>
                <w:vertAlign w:val="superscript"/>
              </w:rPr>
              <w:t>c</w:t>
            </w:r>
            <w:r w:rsidRPr="0088229A">
              <w:rPr>
                <w:rFonts w:eastAsia="Times New Roman" w:cs="Calibri"/>
                <w:color w:val="000000"/>
                <w:sz w:val="18"/>
                <w:szCs w:val="18"/>
              </w:rPr>
              <w:t>Individual countries by region are available at: http://www.clinicaltrials.gov/ct2/search/browse?brwse=locn_cat.</w:t>
            </w:r>
          </w:p>
        </w:tc>
      </w:tr>
    </w:tbl>
    <w:p w:rsidR="009A11FF" w:rsidRDefault="009A11FF" w:rsidP="001764F0">
      <w:pPr>
        <w:adjustRightInd w:val="0"/>
        <w:spacing w:after="0" w:line="240" w:lineRule="auto"/>
      </w:pPr>
    </w:p>
    <w:sectPr w:rsidR="009A11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6571"/>
    <w:rsid w:val="00117018"/>
    <w:rsid w:val="001764F0"/>
    <w:rsid w:val="00376648"/>
    <w:rsid w:val="0045595E"/>
    <w:rsid w:val="005A112F"/>
    <w:rsid w:val="005D6631"/>
    <w:rsid w:val="00686571"/>
    <w:rsid w:val="009070D3"/>
    <w:rsid w:val="009A11FF"/>
    <w:rsid w:val="00A641C0"/>
    <w:rsid w:val="00A7123A"/>
    <w:rsid w:val="00AA7988"/>
    <w:rsid w:val="00DC494D"/>
    <w:rsid w:val="00F03199"/>
    <w:rsid w:val="00F53527"/>
    <w:rsid w:val="00F60EDF"/>
    <w:rsid w:val="00FA6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86571"/>
    <w:rPr>
      <w:sz w:val="16"/>
      <w:szCs w:val="16"/>
    </w:rPr>
  </w:style>
  <w:style w:type="paragraph" w:styleId="CommentText">
    <w:name w:val="annotation text"/>
    <w:basedOn w:val="Normal"/>
    <w:link w:val="CommentTextChar"/>
    <w:uiPriority w:val="99"/>
    <w:semiHidden/>
    <w:unhideWhenUsed/>
    <w:rsid w:val="00686571"/>
    <w:pPr>
      <w:spacing w:line="240" w:lineRule="auto"/>
    </w:pPr>
    <w:rPr>
      <w:sz w:val="20"/>
      <w:szCs w:val="20"/>
    </w:rPr>
  </w:style>
  <w:style w:type="character" w:customStyle="1" w:styleId="CommentTextChar">
    <w:name w:val="Comment Text Char"/>
    <w:basedOn w:val="DefaultParagraphFont"/>
    <w:link w:val="CommentText"/>
    <w:uiPriority w:val="99"/>
    <w:semiHidden/>
    <w:rsid w:val="0068657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8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71"/>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6571"/>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686571"/>
    <w:rPr>
      <w:sz w:val="16"/>
      <w:szCs w:val="16"/>
    </w:rPr>
  </w:style>
  <w:style w:type="paragraph" w:styleId="CommentText">
    <w:name w:val="annotation text"/>
    <w:basedOn w:val="Normal"/>
    <w:link w:val="CommentTextChar"/>
    <w:uiPriority w:val="99"/>
    <w:semiHidden/>
    <w:unhideWhenUsed/>
    <w:rsid w:val="00686571"/>
    <w:pPr>
      <w:spacing w:line="240" w:lineRule="auto"/>
    </w:pPr>
    <w:rPr>
      <w:sz w:val="20"/>
      <w:szCs w:val="20"/>
    </w:rPr>
  </w:style>
  <w:style w:type="character" w:customStyle="1" w:styleId="CommentTextChar">
    <w:name w:val="Comment Text Char"/>
    <w:basedOn w:val="DefaultParagraphFont"/>
    <w:link w:val="CommentText"/>
    <w:uiPriority w:val="99"/>
    <w:semiHidden/>
    <w:rsid w:val="00686571"/>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68657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657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807</Words>
  <Characters>4606</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Ephraim Tsalik, M.D.</dc:creator>
  <cp:lastModifiedBy>Jonathan McCall</cp:lastModifiedBy>
  <cp:revision>4</cp:revision>
  <dcterms:created xsi:type="dcterms:W3CDTF">2013-09-12T17:33:00Z</dcterms:created>
  <dcterms:modified xsi:type="dcterms:W3CDTF">2013-09-13T14:19:00Z</dcterms:modified>
</cp:coreProperties>
</file>