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D" w:rsidRPr="00E33C6B" w:rsidRDefault="001557CD" w:rsidP="001557CD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Table S3: Estimated prevalence and number of </w:t>
      </w:r>
      <w:r w:rsidRPr="00E33C6B">
        <w:rPr>
          <w:rFonts w:cstheme="minorHAnsi"/>
          <w:b/>
          <w:szCs w:val="22"/>
        </w:rPr>
        <w:t xml:space="preserve">cases of </w:t>
      </w:r>
      <w:r>
        <w:rPr>
          <w:rFonts w:cstheme="minorHAnsi"/>
          <w:b/>
          <w:szCs w:val="22"/>
        </w:rPr>
        <w:t>cannabis dependence</w:t>
      </w:r>
      <w:r w:rsidRPr="00E33C6B">
        <w:rPr>
          <w:rFonts w:cstheme="minorHAnsi"/>
          <w:b/>
          <w:szCs w:val="22"/>
        </w:rPr>
        <w:t xml:space="preserve"> in</w:t>
      </w:r>
      <w:r>
        <w:rPr>
          <w:rFonts w:cstheme="minorHAnsi"/>
          <w:b/>
          <w:szCs w:val="22"/>
        </w:rPr>
        <w:t xml:space="preserve"> 1990, by sex and GBD region</w:t>
      </w:r>
      <w:r w:rsidR="00BE035F">
        <w:rPr>
          <w:rFonts w:cstheme="minorHAnsi"/>
          <w:b/>
          <w:szCs w:val="22"/>
        </w:rPr>
        <w:t>.</w:t>
      </w:r>
      <w:bookmarkStart w:id="0" w:name="_GoBack"/>
      <w:bookmarkEnd w:id="0"/>
    </w:p>
    <w:tbl>
      <w:tblPr>
        <w:tblStyle w:val="LightGrid-Accent1"/>
        <w:tblW w:w="57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452"/>
        <w:gridCol w:w="1014"/>
        <w:gridCol w:w="720"/>
        <w:gridCol w:w="1161"/>
        <w:gridCol w:w="1011"/>
        <w:gridCol w:w="720"/>
        <w:gridCol w:w="1014"/>
        <w:gridCol w:w="1011"/>
        <w:gridCol w:w="720"/>
        <w:gridCol w:w="1147"/>
      </w:tblGrid>
      <w:tr w:rsidR="001557CD" w:rsidRPr="007F6E35" w:rsidTr="000A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noWrap/>
            <w:hideMark/>
          </w:tcPr>
          <w:p w:rsidR="001557CD" w:rsidRPr="007F6E35" w:rsidRDefault="001557CD" w:rsidP="000A3F1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 w:val="0"/>
                <w:sz w:val="18"/>
                <w:szCs w:val="18"/>
              </w:rPr>
              <w:t>Females</w:t>
            </w:r>
          </w:p>
        </w:tc>
        <w:tc>
          <w:tcPr>
            <w:tcW w:w="1250" w:type="pct"/>
            <w:gridSpan w:val="3"/>
            <w:noWrap/>
            <w:hideMark/>
          </w:tcPr>
          <w:p w:rsidR="001557CD" w:rsidRPr="007F6E35" w:rsidRDefault="001557CD" w:rsidP="000A3F1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 w:val="0"/>
                <w:sz w:val="18"/>
                <w:szCs w:val="18"/>
              </w:rPr>
              <w:t>Males</w:t>
            </w:r>
          </w:p>
        </w:tc>
        <w:tc>
          <w:tcPr>
            <w:tcW w:w="1313" w:type="pct"/>
            <w:gridSpan w:val="3"/>
            <w:noWrap/>
            <w:hideMark/>
          </w:tcPr>
          <w:p w:rsidR="001557CD" w:rsidRPr="007F6E35" w:rsidRDefault="001557CD" w:rsidP="000A3F1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 w:val="0"/>
                <w:sz w:val="18"/>
                <w:szCs w:val="18"/>
              </w:rPr>
              <w:t>Total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95%CI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95%CI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N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/>
                <w:sz w:val="18"/>
                <w:szCs w:val="18"/>
              </w:rPr>
              <w:t>95%CI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Asia Pacific, High Income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294000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(0.2-0.6)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(0.2-0.4)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Asia Central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56000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96000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151000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(0.17-0.3)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Asia East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821000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1485000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2306000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Asia South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(0.09-0.14)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1121000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1720000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Asia South East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734000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Australasia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0.5%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(0.4-0.36)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0.9%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(0.7-1.0)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139000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0.7%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(0.6-0.8)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Caribbean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0.12%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Europe Central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92000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164000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255000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(0.18-0.3)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Europe Eastern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162000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435000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Europe Western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453000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0.25%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811000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0.4%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(0.3-0.6)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1263000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(0.28-0.4)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Latin America, Andean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0.08%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(0.04-0.1)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(0.07-0.2)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Latin America, Central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(0.04-0.1)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161000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(0.07-0.12)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Latin America, Southern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83000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(0.2-0.6)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132000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(0.2-0.4)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Latin America, Tropical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82000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(0.05-0.2)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222000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(0.07-0.2)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North Africa/Middle East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156000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(0.08-0.14)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0.18%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427000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North America, High Income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567000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0.4%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(0.3-0.5)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997000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0.7%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(0.6-0.9)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1564000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0.6%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(0.5-0.7)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  <w:hideMark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0.3%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Sub-Saharan Africa Central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78000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0.15%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Sub-Saharan Africa East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122000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(0.08-0.2)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205000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(0.15-0.3)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327000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Sub-Saharan Africa South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(0.08-0.2)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(0.1-0.4)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101000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(0.1-0.3)</w:t>
            </w:r>
          </w:p>
        </w:tc>
      </w:tr>
      <w:tr w:rsidR="001557CD" w:rsidRPr="007F6E35" w:rsidTr="000A3F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  <w:t>Sub-Saharan Africa West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56000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(0.04-0.1)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97000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(0.07-0.2)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0.08%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(0.06-0.1)</w:t>
            </w:r>
          </w:p>
        </w:tc>
      </w:tr>
      <w:tr w:rsidR="001557CD" w:rsidRPr="007F6E35" w:rsidTr="000A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noWrap/>
          </w:tcPr>
          <w:p w:rsidR="001557CD" w:rsidRPr="007F6E35" w:rsidRDefault="001557CD" w:rsidP="000A3F17">
            <w:pPr>
              <w:contextualSpacing/>
              <w:jc w:val="left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7F6E35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Global</w:t>
            </w:r>
          </w:p>
        </w:tc>
        <w:tc>
          <w:tcPr>
            <w:tcW w:w="462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3874000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0.14%</w:t>
            </w:r>
          </w:p>
        </w:tc>
        <w:tc>
          <w:tcPr>
            <w:tcW w:w="529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(0.1-0.2)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6879000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462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(0.21-0.3)</w:t>
            </w:r>
          </w:p>
        </w:tc>
        <w:tc>
          <w:tcPr>
            <w:tcW w:w="461" w:type="pct"/>
            <w:noWrap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10752000</w:t>
            </w:r>
          </w:p>
        </w:tc>
        <w:tc>
          <w:tcPr>
            <w:tcW w:w="328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0.2%</w:t>
            </w:r>
          </w:p>
        </w:tc>
        <w:tc>
          <w:tcPr>
            <w:tcW w:w="524" w:type="pct"/>
          </w:tcPr>
          <w:p w:rsidR="001557CD" w:rsidRPr="007F6E35" w:rsidRDefault="001557CD" w:rsidP="000A3F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F6E35">
              <w:rPr>
                <w:color w:val="000000"/>
                <w:sz w:val="18"/>
                <w:szCs w:val="18"/>
              </w:rPr>
              <w:t>(0.17-0.22)</w:t>
            </w:r>
          </w:p>
        </w:tc>
      </w:tr>
    </w:tbl>
    <w:p w:rsidR="001D1EA1" w:rsidRDefault="00BE035F" w:rsidP="001557CD">
      <w:pPr>
        <w:spacing w:after="200" w:line="276" w:lineRule="auto"/>
        <w:jc w:val="left"/>
      </w:pPr>
    </w:p>
    <w:sectPr w:rsidR="001D1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CD"/>
    <w:rsid w:val="001557CD"/>
    <w:rsid w:val="00466D6D"/>
    <w:rsid w:val="007C019A"/>
    <w:rsid w:val="00B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CD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1557CD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CD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1557CD"/>
    <w:pPr>
      <w:spacing w:after="0" w:line="240" w:lineRule="auto"/>
    </w:pPr>
    <w:rPr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</dc:creator>
  <cp:lastModifiedBy>ferrari</cp:lastModifiedBy>
  <cp:revision>2</cp:revision>
  <dcterms:created xsi:type="dcterms:W3CDTF">2013-09-16T03:22:00Z</dcterms:created>
  <dcterms:modified xsi:type="dcterms:W3CDTF">2013-09-16T04:13:00Z</dcterms:modified>
</cp:coreProperties>
</file>