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BE" w:rsidRDefault="00BB14BE" w:rsidP="00BB14BE">
      <w:pPr>
        <w:tabs>
          <w:tab w:val="left" w:pos="1636"/>
        </w:tabs>
        <w:spacing w:after="0" w:line="240" w:lineRule="auto"/>
        <w:jc w:val="both"/>
        <w:rPr>
          <w:rFonts w:ascii="Calibri" w:eastAsia="Times New Roman" w:hAnsi="Calibri" w:cstheme="minorHAnsi"/>
          <w:b/>
          <w:sz w:val="24"/>
          <w:szCs w:val="24"/>
          <w:lang w:val="en-GB"/>
        </w:rPr>
      </w:pPr>
      <w:proofErr w:type="gramStart"/>
      <w:r w:rsidRPr="00BB14BE">
        <w:rPr>
          <w:rFonts w:ascii="Calibri" w:eastAsia="Times New Roman" w:hAnsi="Calibri" w:cstheme="minorHAnsi"/>
          <w:b/>
          <w:sz w:val="24"/>
          <w:szCs w:val="24"/>
          <w:lang w:val="en-GB"/>
        </w:rPr>
        <w:t xml:space="preserve">Table </w:t>
      </w:r>
      <w:r>
        <w:rPr>
          <w:rFonts w:ascii="Calibri" w:eastAsia="Times New Roman" w:hAnsi="Calibri" w:cstheme="minorHAnsi"/>
          <w:b/>
          <w:sz w:val="24"/>
          <w:szCs w:val="24"/>
          <w:lang w:val="en-GB"/>
        </w:rPr>
        <w:t>S</w:t>
      </w:r>
      <w:r w:rsidR="008736B2">
        <w:rPr>
          <w:rFonts w:ascii="Calibri" w:eastAsia="Times New Roman" w:hAnsi="Calibri" w:cstheme="minorHAnsi"/>
          <w:b/>
          <w:sz w:val="24"/>
          <w:szCs w:val="24"/>
          <w:lang w:val="en-GB"/>
        </w:rPr>
        <w:t>2</w:t>
      </w:r>
      <w:bookmarkStart w:id="0" w:name="_GoBack"/>
      <w:bookmarkEnd w:id="0"/>
      <w:r w:rsidRPr="00BB14BE">
        <w:rPr>
          <w:rFonts w:ascii="Calibri" w:eastAsia="Times New Roman" w:hAnsi="Calibri" w:cstheme="minorHAnsi"/>
          <w:b/>
          <w:sz w:val="24"/>
          <w:szCs w:val="24"/>
          <w:lang w:val="en-GB"/>
        </w:rPr>
        <w:t xml:space="preserve">: Countries located in regions and super </w:t>
      </w:r>
      <w:r w:rsidR="000F7F11">
        <w:rPr>
          <w:rFonts w:ascii="Calibri" w:eastAsia="Times New Roman" w:hAnsi="Calibri" w:cstheme="minorHAnsi"/>
          <w:b/>
          <w:sz w:val="24"/>
          <w:szCs w:val="24"/>
          <w:lang w:val="en-GB"/>
        </w:rPr>
        <w:t>regions as defined in GBD 2010.</w:t>
      </w:r>
      <w:proofErr w:type="gramEnd"/>
    </w:p>
    <w:p w:rsidR="004E0D37" w:rsidRPr="00BB14BE" w:rsidRDefault="004E0D37" w:rsidP="00BB14BE">
      <w:pPr>
        <w:tabs>
          <w:tab w:val="left" w:pos="1636"/>
        </w:tabs>
        <w:spacing w:after="0" w:line="240" w:lineRule="auto"/>
        <w:jc w:val="both"/>
        <w:rPr>
          <w:rFonts w:eastAsia="Times New Roman" w:cstheme="minorHAnsi"/>
          <w:b/>
          <w:color w:val="000000"/>
          <w:sz w:val="28"/>
          <w:szCs w:val="28"/>
        </w:rPr>
      </w:pPr>
    </w:p>
    <w:tbl>
      <w:tblPr>
        <w:tblW w:w="54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612"/>
        <w:gridCol w:w="6852"/>
      </w:tblGrid>
      <w:tr w:rsidR="00BB14BE" w:rsidRPr="00BB14BE" w:rsidTr="000A3F17">
        <w:trPr>
          <w:trHeight w:val="510"/>
          <w:tblHeader/>
        </w:trPr>
        <w:tc>
          <w:tcPr>
            <w:tcW w:w="909" w:type="pct"/>
            <w:shd w:val="clear" w:color="auto" w:fill="548DD4" w:themeFill="text2" w:themeFillTint="99"/>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GBD Super Region</w:t>
            </w:r>
          </w:p>
        </w:tc>
        <w:tc>
          <w:tcPr>
            <w:tcW w:w="779" w:type="pct"/>
            <w:shd w:val="clear" w:color="auto" w:fill="548DD4" w:themeFill="text2" w:themeFillTint="99"/>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 xml:space="preserve">GBD Region </w:t>
            </w:r>
          </w:p>
        </w:tc>
        <w:tc>
          <w:tcPr>
            <w:tcW w:w="3313" w:type="pct"/>
            <w:shd w:val="clear" w:color="auto" w:fill="548DD4" w:themeFill="text2" w:themeFillTint="99"/>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 xml:space="preserve">Country </w:t>
            </w:r>
          </w:p>
        </w:tc>
      </w:tr>
      <w:tr w:rsidR="00BB14BE" w:rsidRPr="00BB14BE" w:rsidTr="000A3F17">
        <w:trPr>
          <w:trHeight w:val="310"/>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OECD</w:t>
            </w: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Asia Pacific, High Income</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Brunei Darussalam, Japan, Republic of Korea (South Korea), Singapore</w:t>
            </w:r>
          </w:p>
        </w:tc>
      </w:tr>
      <w:tr w:rsidR="00BB14BE" w:rsidRPr="00BB14BE" w:rsidTr="000A3F17">
        <w:trPr>
          <w:trHeight w:val="285"/>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Australasia</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Australia, New Zealand</w:t>
            </w:r>
          </w:p>
        </w:tc>
      </w:tr>
      <w:tr w:rsidR="00BB14BE" w:rsidRPr="00BB14BE" w:rsidTr="000A3F17">
        <w:trPr>
          <w:trHeight w:val="687"/>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Europe, Western</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roofErr w:type="spellStart"/>
            <w:r w:rsidRPr="00BB14BE">
              <w:rPr>
                <w:rFonts w:ascii="Calibri" w:eastAsia="Calibri" w:hAnsi="Calibri" w:cs="Times New Roman"/>
                <w:sz w:val="18"/>
                <w:szCs w:val="18"/>
                <w:lang w:val="en-AU"/>
              </w:rPr>
              <w:t>Akrotiri</w:t>
            </w:r>
            <w:proofErr w:type="spellEnd"/>
            <w:r w:rsidRPr="00BB14BE">
              <w:rPr>
                <w:rFonts w:ascii="Calibri" w:eastAsia="Calibri" w:hAnsi="Calibri" w:cs="Times New Roman"/>
                <w:sz w:val="18"/>
                <w:szCs w:val="18"/>
                <w:lang w:val="en-AU"/>
              </w:rPr>
              <w:t xml:space="preserve"> and </w:t>
            </w:r>
            <w:proofErr w:type="spellStart"/>
            <w:r w:rsidRPr="00BB14BE">
              <w:rPr>
                <w:rFonts w:ascii="Calibri" w:eastAsia="Calibri" w:hAnsi="Calibri" w:cs="Times New Roman"/>
                <w:sz w:val="18"/>
                <w:szCs w:val="18"/>
                <w:lang w:val="en-AU"/>
              </w:rPr>
              <w:t>Dhekelia</w:t>
            </w:r>
            <w:proofErr w:type="spellEnd"/>
            <w:r w:rsidRPr="00BB14BE">
              <w:rPr>
                <w:rFonts w:ascii="Calibri" w:eastAsia="Calibri" w:hAnsi="Calibri" w:cs="Times New Roman"/>
                <w:sz w:val="18"/>
                <w:szCs w:val="18"/>
                <w:lang w:val="en-AU"/>
              </w:rPr>
              <w:t>, Aland Islands, Andorra, Austria, Belgium, Channel Islands, Cyprus, Denmark, Faeroe Islands, Finland, France, Germany, Gibraltar, Greece, Greenland, Holy See, Iceland, Ireland, Isle of Man, Israel, Italy, Liechtenstein, Luxembourg, Malta, Monaco, Netherlands, Norway, Portugal, San Marino, Spain, Sweden, Switzerland, United Kingdom</w:t>
            </w:r>
          </w:p>
        </w:tc>
      </w:tr>
      <w:tr w:rsidR="00BB14BE" w:rsidRPr="00BB14BE" w:rsidTr="000A3F17">
        <w:trPr>
          <w:trHeight w:val="314"/>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Latin America, Southern</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Argentina, Chile, Falkland Islands (Malvinas), Uruguay</w:t>
            </w:r>
          </w:p>
        </w:tc>
      </w:tr>
      <w:tr w:rsidR="00BB14BE" w:rsidRPr="00BB14BE" w:rsidTr="000A3F17">
        <w:trPr>
          <w:trHeight w:val="263"/>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North America, High Income</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Canada, Saint Pierre et Miquelon, United States of America</w:t>
            </w:r>
          </w:p>
        </w:tc>
      </w:tr>
      <w:tr w:rsidR="00BB14BE" w:rsidRPr="00BB14BE" w:rsidTr="000A3F17">
        <w:trPr>
          <w:trHeight w:val="280"/>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Eastern Europe/Central Asia</w:t>
            </w: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Asia, Central</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Armenia, Azerbaijan, Georgia, Kazakhstan, Kyrgyzstan, Mongolia, Tajikistan, Turkmenistan, Uzbekistan</w:t>
            </w:r>
          </w:p>
        </w:tc>
      </w:tr>
      <w:tr w:rsidR="00BB14BE" w:rsidRPr="00BB14BE" w:rsidTr="000A3F17">
        <w:trPr>
          <w:trHeight w:val="413"/>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Europe, Central</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Albania, Bosnia and Herzegovina, Bulgaria, Croatia, Czech Republic, Hungary, Kosovo, Montenegro, Poland, Romania, Serbia, Slovakia, Slovenia, The Former Yugoslav Republic of Macedonia</w:t>
            </w:r>
          </w:p>
        </w:tc>
      </w:tr>
      <w:tr w:rsidR="00BB14BE" w:rsidRPr="00BB14BE" w:rsidTr="000A3F17">
        <w:trPr>
          <w:trHeight w:val="249"/>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Europe, Eastern</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Belarus, Estonia, Latvia, Lithuania, Republic of Moldova, Russian Federation, Ukraine</w:t>
            </w:r>
          </w:p>
        </w:tc>
      </w:tr>
      <w:tr w:rsidR="00BB14BE" w:rsidRPr="00BB14BE" w:rsidTr="000A3F17">
        <w:trPr>
          <w:trHeight w:val="281"/>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Sub-Saharan Africa</w:t>
            </w: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Sub-Saharan Africa, Central</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Angola, Central African Republic, Congo, Democratic Republic of the Congo, Equatorial Guinea, Gabon</w:t>
            </w:r>
          </w:p>
        </w:tc>
      </w:tr>
      <w:tr w:rsidR="00BB14BE" w:rsidRPr="00BB14BE" w:rsidTr="000A3F17">
        <w:trPr>
          <w:trHeight w:val="399"/>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Sub-Saharan Africa, East</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Burundi, Comoros, Djibouti, Eritrea, Ethiopia, Kenya, Madagascar, Malawi, Mayotte, Mozambique, Rwanda, Somalia, Sudan, Uganda, Tanzania (United Republic of), Zambia</w:t>
            </w:r>
          </w:p>
        </w:tc>
      </w:tr>
      <w:tr w:rsidR="00BB14BE" w:rsidRPr="00BB14BE" w:rsidTr="000A3F17">
        <w:trPr>
          <w:trHeight w:val="235"/>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Sub-Saharan Africa, Southern</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Botswana, Lesotho, Namibia, South Africa, Swaziland, Zimbabwe</w:t>
            </w:r>
          </w:p>
        </w:tc>
      </w:tr>
      <w:tr w:rsidR="00BB14BE" w:rsidRPr="00BB14BE" w:rsidTr="000A3F17">
        <w:trPr>
          <w:trHeight w:val="424"/>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Sub-Saharan Africa, West</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Benin, Burkina Faso, Cameroon, Cape Verde, Chad, Cote d’Ivoire, Gambia, Ghana, Guinea, Guinea-Bissau, Liberia, Mali, Mauritania, Niger, Nigeria, Saint Helena, Sao Tome and Principe, Senegal, Sierra Leone, Togo</w:t>
            </w:r>
          </w:p>
        </w:tc>
      </w:tr>
      <w:tr w:rsidR="00BB14BE" w:rsidRPr="00BB14BE" w:rsidTr="000A3F17">
        <w:trPr>
          <w:trHeight w:val="371"/>
        </w:trPr>
        <w:tc>
          <w:tcPr>
            <w:tcW w:w="90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North Africa/Middle East</w:t>
            </w:r>
          </w:p>
          <w:p w:rsidR="00BB14BE" w:rsidRPr="00BB14BE" w:rsidRDefault="00BB14BE" w:rsidP="00BB14BE">
            <w:pPr>
              <w:suppressAutoHyphens/>
              <w:spacing w:after="0" w:line="240" w:lineRule="auto"/>
              <w:rPr>
                <w:rFonts w:ascii="Calibri" w:eastAsia="Calibri" w:hAnsi="Calibri" w:cs="Times New Roman"/>
                <w:b/>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North Africa/Middle East</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Algeria, Bahrain, Egypt, Iran (Islamic Republic of), Iraq, Jordan, Kuwait, Lebanon, Libyan Arab Jamahiriya, Morocco, Occupied Palestinian Territory, Oman, Qatar, Saudi Arabia, Syrian Arab Republic, Tunisia, Turkey, United Arab Emirates, Western Sahara, Yemen</w:t>
            </w:r>
          </w:p>
        </w:tc>
      </w:tr>
      <w:tr w:rsidR="00BB14BE" w:rsidRPr="00BB14BE" w:rsidTr="000A3F17">
        <w:trPr>
          <w:trHeight w:val="349"/>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 xml:space="preserve">South Asia </w:t>
            </w:r>
          </w:p>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Asia, South</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Afghanistan, Bangladesh, Bhutan, India, Nepal, Pakistan</w:t>
            </w:r>
          </w:p>
        </w:tc>
      </w:tr>
      <w:tr w:rsidR="00BB14BE" w:rsidRPr="00BB14BE" w:rsidTr="000A3F17">
        <w:trPr>
          <w:trHeight w:val="454"/>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Asia, Southeast</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 xml:space="preserve">Cambodia, Christmas Island, Cocos Islands, Indonesia, Lao People’s Democratic Republic, Malaysia, Maldives, Mauritius, Mayotte, Myanmar, Philippines, Reunion, Seychelles, Sri Lanka, Thailand, </w:t>
            </w:r>
            <w:proofErr w:type="spellStart"/>
            <w:r w:rsidRPr="00BB14BE">
              <w:rPr>
                <w:rFonts w:ascii="Calibri" w:eastAsia="Calibri" w:hAnsi="Calibri" w:cs="Times New Roman"/>
                <w:sz w:val="18"/>
                <w:szCs w:val="18"/>
                <w:lang w:val="en-AU"/>
              </w:rPr>
              <w:t>Timore-Leste</w:t>
            </w:r>
            <w:proofErr w:type="spellEnd"/>
            <w:r w:rsidRPr="00BB14BE">
              <w:rPr>
                <w:rFonts w:ascii="Calibri" w:eastAsia="Calibri" w:hAnsi="Calibri" w:cs="Times New Roman"/>
                <w:sz w:val="18"/>
                <w:szCs w:val="18"/>
                <w:lang w:val="en-AU"/>
              </w:rPr>
              <w:t>, Viet Nam</w:t>
            </w:r>
          </w:p>
        </w:tc>
      </w:tr>
      <w:tr w:rsidR="00BB14BE" w:rsidRPr="00BB14BE" w:rsidTr="000A3F17">
        <w:trPr>
          <w:trHeight w:val="266"/>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East Asia and Pacific</w:t>
            </w:r>
          </w:p>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Asia, East</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China, Democratic People’s Republic of Korea (North Korea), Hong Kong, Taiwan</w:t>
            </w:r>
          </w:p>
        </w:tc>
      </w:tr>
      <w:tr w:rsidR="00BB14BE" w:rsidRPr="00BB14BE" w:rsidTr="000A3F17">
        <w:trPr>
          <w:trHeight w:val="656"/>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Oceania</w:t>
            </w:r>
          </w:p>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American Samoa, Cook Islands, Fiji, French Polynesia, Guam, Kiribati, Marshall Islands, Micronesia (Federated States of), Nauru, New Caledonia, Niue, Northern Mariana Islands, Palau, Papua New Guinea, Pitcairn, Samoa, Solomon Islands, Tokelau, Tonga, Tuvalu, Vanuatu, Wallis and Futuna Islands</w:t>
            </w:r>
          </w:p>
        </w:tc>
      </w:tr>
      <w:tr w:rsidR="00BB14BE" w:rsidRPr="00BB14BE" w:rsidTr="000A3F17">
        <w:trPr>
          <w:trHeight w:val="877"/>
        </w:trPr>
        <w:tc>
          <w:tcPr>
            <w:tcW w:w="909" w:type="pct"/>
            <w:vMerge w:val="restar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b/>
                <w:sz w:val="18"/>
                <w:szCs w:val="18"/>
                <w:lang w:val="en-AU"/>
              </w:rPr>
            </w:pPr>
            <w:r w:rsidRPr="00BB14BE">
              <w:rPr>
                <w:rFonts w:ascii="Calibri" w:eastAsia="Calibri" w:hAnsi="Calibri" w:cs="Times New Roman"/>
                <w:b/>
                <w:sz w:val="18"/>
                <w:szCs w:val="18"/>
                <w:lang w:val="en-AU"/>
              </w:rPr>
              <w:t>Non-OECD Latin America/Caribbean</w:t>
            </w:r>
          </w:p>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Caribbean</w:t>
            </w:r>
          </w:p>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Anguilla, Antigua and Barbuda, Aruba, Bahamas, Barbados, Belize, Bermuda, British Virgin Islands, Cayman Islands, Cuba, Dominica, Dominican Republic, French Guiana, Grenada, Guadeloupe, Guyana, Haiti, Jamaica, Martinique, Montserrat, Netherlands Antilles, Puerto Rico, Saint Kitts and Nevis, Saint Lucia, Saint Martin, Saint Vincent and the Grenadines, Suriname, Trinidad and Tobago, Turks and Caicos Islands, US Virgin Islands</w:t>
            </w:r>
          </w:p>
        </w:tc>
      </w:tr>
      <w:tr w:rsidR="00BB14BE" w:rsidRPr="00BB14BE" w:rsidTr="000A3F17">
        <w:trPr>
          <w:trHeight w:val="310"/>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Latin America, Andean</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Bolivia, Ecuador, Peru</w:t>
            </w:r>
          </w:p>
        </w:tc>
      </w:tr>
      <w:tr w:rsidR="00BB14BE" w:rsidRPr="00BB14BE" w:rsidTr="000A3F17">
        <w:trPr>
          <w:trHeight w:val="285"/>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Latin America, Central</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Colombia, Costa Rica, El Salvador, Guatemala, Honduras, Mexico, Nicaragua, Panama, Venezuela</w:t>
            </w:r>
          </w:p>
        </w:tc>
      </w:tr>
      <w:tr w:rsidR="00BB14BE" w:rsidRPr="00BB14BE" w:rsidTr="000A3F17">
        <w:trPr>
          <w:trHeight w:val="262"/>
        </w:trPr>
        <w:tc>
          <w:tcPr>
            <w:tcW w:w="909" w:type="pct"/>
            <w:vMerge/>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p>
        </w:tc>
        <w:tc>
          <w:tcPr>
            <w:tcW w:w="779"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Latin America, Tropical</w:t>
            </w:r>
          </w:p>
        </w:tc>
        <w:tc>
          <w:tcPr>
            <w:tcW w:w="3313" w:type="pct"/>
            <w:shd w:val="clear" w:color="auto" w:fill="auto"/>
            <w:vAlign w:val="center"/>
            <w:hideMark/>
          </w:tcPr>
          <w:p w:rsidR="00BB14BE" w:rsidRPr="00BB14BE" w:rsidRDefault="00BB14BE" w:rsidP="00BB14BE">
            <w:pPr>
              <w:suppressAutoHyphens/>
              <w:spacing w:after="0" w:line="240" w:lineRule="auto"/>
              <w:rPr>
                <w:rFonts w:ascii="Calibri" w:eastAsia="Calibri" w:hAnsi="Calibri" w:cs="Times New Roman"/>
                <w:sz w:val="18"/>
                <w:szCs w:val="18"/>
                <w:lang w:val="en-AU"/>
              </w:rPr>
            </w:pPr>
            <w:r w:rsidRPr="00BB14BE">
              <w:rPr>
                <w:rFonts w:ascii="Calibri" w:eastAsia="Calibri" w:hAnsi="Calibri" w:cs="Times New Roman"/>
                <w:sz w:val="18"/>
                <w:szCs w:val="18"/>
                <w:lang w:val="en-AU"/>
              </w:rPr>
              <w:t>Brazil, Paraguay</w:t>
            </w:r>
          </w:p>
        </w:tc>
      </w:tr>
    </w:tbl>
    <w:p w:rsidR="001D1EA1" w:rsidRDefault="00B007DA"/>
    <w:sectPr w:rsidR="001D1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DA" w:rsidRDefault="00B007DA" w:rsidP="00BB14BE">
      <w:pPr>
        <w:spacing w:after="0" w:line="240" w:lineRule="auto"/>
      </w:pPr>
      <w:r>
        <w:separator/>
      </w:r>
    </w:p>
  </w:endnote>
  <w:endnote w:type="continuationSeparator" w:id="0">
    <w:p w:rsidR="00B007DA" w:rsidRDefault="00B007DA" w:rsidP="00BB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DA" w:rsidRDefault="00B007DA" w:rsidP="00BB14BE">
      <w:pPr>
        <w:spacing w:after="0" w:line="240" w:lineRule="auto"/>
      </w:pPr>
      <w:r>
        <w:separator/>
      </w:r>
    </w:p>
  </w:footnote>
  <w:footnote w:type="continuationSeparator" w:id="0">
    <w:p w:rsidR="00B007DA" w:rsidRDefault="00B007DA" w:rsidP="00BB1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E"/>
    <w:rsid w:val="000F7F11"/>
    <w:rsid w:val="00466D6D"/>
    <w:rsid w:val="004E0D37"/>
    <w:rsid w:val="005F1D25"/>
    <w:rsid w:val="00637C33"/>
    <w:rsid w:val="00642B9F"/>
    <w:rsid w:val="007C019A"/>
    <w:rsid w:val="008736B2"/>
    <w:rsid w:val="009B3E7A"/>
    <w:rsid w:val="00B007DA"/>
    <w:rsid w:val="00BB14BE"/>
    <w:rsid w:val="00DA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BE"/>
  </w:style>
  <w:style w:type="paragraph" w:styleId="Header">
    <w:name w:val="header"/>
    <w:basedOn w:val="Normal"/>
    <w:link w:val="HeaderChar"/>
    <w:uiPriority w:val="99"/>
    <w:unhideWhenUsed/>
    <w:rsid w:val="00BB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BE"/>
  </w:style>
  <w:style w:type="paragraph" w:styleId="BalloonText">
    <w:name w:val="Balloon Text"/>
    <w:basedOn w:val="Normal"/>
    <w:link w:val="BalloonTextChar"/>
    <w:uiPriority w:val="99"/>
    <w:semiHidden/>
    <w:unhideWhenUsed/>
    <w:rsid w:val="00BB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BE"/>
  </w:style>
  <w:style w:type="paragraph" w:styleId="Header">
    <w:name w:val="header"/>
    <w:basedOn w:val="Normal"/>
    <w:link w:val="HeaderChar"/>
    <w:uiPriority w:val="99"/>
    <w:unhideWhenUsed/>
    <w:rsid w:val="00BB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BE"/>
  </w:style>
  <w:style w:type="paragraph" w:styleId="BalloonText">
    <w:name w:val="Balloon Text"/>
    <w:basedOn w:val="Normal"/>
    <w:link w:val="BalloonTextChar"/>
    <w:uiPriority w:val="99"/>
    <w:semiHidden/>
    <w:unhideWhenUsed/>
    <w:rsid w:val="00BB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ferrari</cp:lastModifiedBy>
  <cp:revision>5</cp:revision>
  <dcterms:created xsi:type="dcterms:W3CDTF">2013-09-16T03:15:00Z</dcterms:created>
  <dcterms:modified xsi:type="dcterms:W3CDTF">2013-09-16T05:10:00Z</dcterms:modified>
</cp:coreProperties>
</file>