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969DA" w14:textId="3A414082" w:rsidR="00B2235B" w:rsidRDefault="008E6C57" w:rsidP="00B2235B">
      <w:pPr>
        <w:spacing w:line="480" w:lineRule="auto"/>
        <w:rPr>
          <w:rFonts w:ascii="Georgia" w:hAnsi="Georgia" w:cs="Helvetica"/>
          <w:color w:val="auto"/>
          <w:sz w:val="22"/>
        </w:rPr>
      </w:pPr>
      <w:r>
        <w:rPr>
          <w:rFonts w:ascii="Georgia" w:hAnsi="Georgia" w:cs="Helvetica"/>
          <w:color w:val="auto"/>
          <w:sz w:val="22"/>
        </w:rPr>
        <w:t>Appendix S1</w:t>
      </w:r>
      <w:r w:rsidR="00D34C59">
        <w:rPr>
          <w:rFonts w:ascii="Georgia" w:hAnsi="Georgia" w:cs="Helvetica"/>
          <w:color w:val="auto"/>
          <w:sz w:val="22"/>
        </w:rPr>
        <w:t>.  Supplemental methods for CALUX assay a</w:t>
      </w:r>
      <w:r w:rsidR="00DB72EC">
        <w:rPr>
          <w:rFonts w:ascii="Georgia" w:hAnsi="Georgia" w:cs="Helvetica"/>
          <w:color w:val="auto"/>
          <w:sz w:val="22"/>
        </w:rPr>
        <w:t>nd chemical a</w:t>
      </w:r>
      <w:bookmarkStart w:id="0" w:name="_GoBack"/>
      <w:bookmarkEnd w:id="0"/>
      <w:r w:rsidR="00D34C59">
        <w:rPr>
          <w:rFonts w:ascii="Georgia" w:hAnsi="Georgia" w:cs="Helvetica"/>
          <w:color w:val="auto"/>
          <w:sz w:val="22"/>
        </w:rPr>
        <w:t>nalysis.</w:t>
      </w:r>
    </w:p>
    <w:p w14:paraId="21CEC84F" w14:textId="77777777" w:rsidR="00B2235B" w:rsidRDefault="00B2235B" w:rsidP="00B2235B">
      <w:pPr>
        <w:spacing w:line="480" w:lineRule="auto"/>
        <w:rPr>
          <w:rFonts w:ascii="Georgia" w:hAnsi="Georgia" w:cs="Helvetica"/>
          <w:color w:val="auto"/>
          <w:sz w:val="22"/>
        </w:rPr>
      </w:pPr>
    </w:p>
    <w:p w14:paraId="14E738C6" w14:textId="77777777" w:rsidR="00C86232" w:rsidRPr="00B2235B" w:rsidRDefault="00B2235B" w:rsidP="00B2235B">
      <w:pPr>
        <w:spacing w:line="480" w:lineRule="auto"/>
        <w:rPr>
          <w:rFonts w:ascii="Georgia" w:hAnsi="Georgia" w:cs="Helvetica"/>
          <w:i/>
          <w:color w:val="auto"/>
          <w:sz w:val="22"/>
        </w:rPr>
      </w:pPr>
      <w:r w:rsidRPr="00B2235B">
        <w:rPr>
          <w:rFonts w:ascii="Georgia" w:hAnsi="Georgia" w:cs="Helvetica"/>
          <w:i/>
          <w:color w:val="auto"/>
          <w:sz w:val="22"/>
        </w:rPr>
        <w:t>CALUX</w:t>
      </w:r>
    </w:p>
    <w:p w14:paraId="0579AEA5" w14:textId="77777777" w:rsidR="00F805AC" w:rsidRDefault="00B2235B" w:rsidP="00B2235B">
      <w:pPr>
        <w:spacing w:line="480" w:lineRule="auto"/>
        <w:rPr>
          <w:rFonts w:ascii="Georgia" w:hAnsi="Georgia" w:cs="Helvetica"/>
          <w:color w:val="auto"/>
          <w:sz w:val="22"/>
        </w:rPr>
      </w:pPr>
      <w:r>
        <w:rPr>
          <w:rFonts w:ascii="Georgia" w:hAnsi="Georgia" w:cs="Helvetica"/>
          <w:color w:val="auto"/>
          <w:sz w:val="22"/>
        </w:rPr>
        <w:t>As described in Giudice and Young 201</w:t>
      </w:r>
      <w:r w:rsidR="00253963">
        <w:rPr>
          <w:rFonts w:ascii="Georgia" w:hAnsi="Georgia" w:cs="Helvetica"/>
          <w:color w:val="auto"/>
          <w:sz w:val="22"/>
        </w:rPr>
        <w:t>0</w:t>
      </w:r>
      <w:r>
        <w:rPr>
          <w:rFonts w:ascii="Georgia" w:hAnsi="Georgia" w:cs="Helvetica"/>
          <w:color w:val="auto"/>
          <w:sz w:val="22"/>
        </w:rPr>
        <w:t>, a</w:t>
      </w:r>
      <w:r w:rsidR="00C86232" w:rsidRPr="00592BA6">
        <w:rPr>
          <w:rFonts w:ascii="Georgia" w:hAnsi="Georgia" w:cs="Helvetica"/>
          <w:color w:val="auto"/>
          <w:sz w:val="22"/>
        </w:rPr>
        <w:t xml:space="preserve">ll glassware was washed with soap and acetone and baked in a muffle furnace at </w:t>
      </w:r>
      <w:r w:rsidR="00C86232">
        <w:rPr>
          <w:rFonts w:ascii="Georgia" w:hAnsi="Georgia" w:cs="Helvetica"/>
          <w:color w:val="auto"/>
          <w:sz w:val="22"/>
        </w:rPr>
        <w:t>232º</w:t>
      </w:r>
      <w:r w:rsidR="00C86232">
        <w:rPr>
          <w:rFonts w:ascii="Georgia" w:hAnsi="Georgia" w:cs="Helvetica"/>
          <w:color w:val="auto"/>
          <w:sz w:val="22"/>
          <w:vertAlign w:val="superscript"/>
        </w:rPr>
        <w:t xml:space="preserve"> </w:t>
      </w:r>
      <w:r w:rsidR="00C86232">
        <w:rPr>
          <w:rFonts w:ascii="Georgia" w:hAnsi="Georgia" w:cs="Helvetica"/>
          <w:color w:val="auto"/>
          <w:sz w:val="22"/>
        </w:rPr>
        <w:t xml:space="preserve">C </w:t>
      </w:r>
      <w:r w:rsidR="00C86232" w:rsidRPr="00592BA6">
        <w:rPr>
          <w:rFonts w:ascii="Georgia" w:hAnsi="Georgia" w:cs="Helvetica"/>
          <w:color w:val="auto"/>
          <w:sz w:val="22"/>
        </w:rPr>
        <w:t>prior to use.  Prior to extraction samples were shaken thoroughly to evenly distribute any suspended solids and poured into a filter holder set-up 250 m</w:t>
      </w:r>
      <w:r w:rsidR="00C86232">
        <w:rPr>
          <w:rFonts w:ascii="Georgia" w:hAnsi="Georgia" w:cs="Helvetica"/>
          <w:color w:val="auto"/>
          <w:sz w:val="22"/>
        </w:rPr>
        <w:t>l</w:t>
      </w:r>
      <w:r w:rsidR="00C86232" w:rsidRPr="00592BA6">
        <w:rPr>
          <w:rFonts w:ascii="Georgia" w:hAnsi="Georgia" w:cs="Helvetica"/>
          <w:color w:val="auto"/>
          <w:sz w:val="22"/>
        </w:rPr>
        <w:t xml:space="preserve"> at a time (Fisher Scientific, Waltham, MA, USA), creating two replicates for each grab sample.  Samples were extracted under 15-20 mm</w:t>
      </w:r>
      <w:r w:rsidR="00C86232">
        <w:rPr>
          <w:rFonts w:ascii="Georgia" w:hAnsi="Georgia" w:cs="Helvetica"/>
          <w:color w:val="auto"/>
          <w:sz w:val="22"/>
        </w:rPr>
        <w:t xml:space="preserve"> </w:t>
      </w:r>
      <w:r w:rsidR="00C86232" w:rsidRPr="00592BA6">
        <w:rPr>
          <w:rFonts w:ascii="Georgia" w:hAnsi="Georgia" w:cs="Helvetica"/>
          <w:color w:val="auto"/>
          <w:sz w:val="22"/>
        </w:rPr>
        <w:t>Hg vacuum pressure through a 934-AH Whatman filter.  Following extraction, samples were acidified to pH 2 with 10N HCl to improve the binding of EDCs with hydroxyl functional groups to the C-18 cartridge.  A 24-cartridge Supelco solid phase extraction manifold (Supelco, Bellefonte, PA, USA) attached to a vacuum flask was used to extract filtered samples through OASIS HLB 6</w:t>
      </w:r>
      <w:r w:rsidR="00C86232">
        <w:rPr>
          <w:rFonts w:ascii="Georgia" w:hAnsi="Georgia" w:cs="Helvetica"/>
          <w:color w:val="auto"/>
          <w:sz w:val="22"/>
        </w:rPr>
        <w:t xml:space="preserve"> </w:t>
      </w:r>
      <w:r w:rsidR="00C86232" w:rsidRPr="00592BA6">
        <w:rPr>
          <w:rFonts w:ascii="Georgia" w:hAnsi="Georgia" w:cs="Helvetica"/>
          <w:color w:val="auto"/>
          <w:sz w:val="22"/>
        </w:rPr>
        <w:t>cc cartridges (Waters, Milford, MA, USA).  Cartridges were pre-conditioned using 5 m</w:t>
      </w:r>
      <w:r w:rsidR="00C86232">
        <w:rPr>
          <w:rFonts w:ascii="Georgia" w:hAnsi="Georgia" w:cs="Helvetica"/>
          <w:color w:val="auto"/>
          <w:sz w:val="22"/>
        </w:rPr>
        <w:t>l</w:t>
      </w:r>
      <w:r w:rsidR="00C86232" w:rsidRPr="00592BA6">
        <w:rPr>
          <w:rFonts w:ascii="Georgia" w:hAnsi="Georgia" w:cs="Helvetica"/>
          <w:color w:val="auto"/>
          <w:sz w:val="22"/>
        </w:rPr>
        <w:t xml:space="preserve"> each of EtAc:AOc (75:25), 5 mLs MeOH and 5 m</w:t>
      </w:r>
      <w:r w:rsidR="00C86232">
        <w:rPr>
          <w:rFonts w:ascii="Georgia" w:hAnsi="Georgia" w:cs="Helvetica"/>
          <w:color w:val="auto"/>
          <w:sz w:val="22"/>
        </w:rPr>
        <w:t>l</w:t>
      </w:r>
      <w:r w:rsidR="00C86232" w:rsidRPr="00592BA6">
        <w:rPr>
          <w:rFonts w:ascii="Georgia" w:hAnsi="Georgia" w:cs="Helvetica"/>
          <w:color w:val="auto"/>
          <w:sz w:val="22"/>
        </w:rPr>
        <w:t xml:space="preserve"> acidified MilliQ water.  Samples were extracted over an hour-long period at 5 mm</w:t>
      </w:r>
      <w:r w:rsidR="00C86232">
        <w:rPr>
          <w:rFonts w:ascii="Georgia" w:hAnsi="Georgia" w:cs="Helvetica"/>
          <w:color w:val="auto"/>
          <w:sz w:val="22"/>
        </w:rPr>
        <w:t xml:space="preserve"> </w:t>
      </w:r>
      <w:r w:rsidR="00C86232" w:rsidRPr="00592BA6">
        <w:rPr>
          <w:rFonts w:ascii="Georgia" w:hAnsi="Georgia" w:cs="Helvetica"/>
          <w:color w:val="auto"/>
          <w:sz w:val="22"/>
        </w:rPr>
        <w:t>Hg.  Prior to elution, cartridges were washed twice with 5 m</w:t>
      </w:r>
      <w:r w:rsidR="00C86232">
        <w:rPr>
          <w:rFonts w:ascii="Georgia" w:hAnsi="Georgia" w:cs="Helvetica"/>
          <w:color w:val="auto"/>
          <w:sz w:val="22"/>
        </w:rPr>
        <w:t>l</w:t>
      </w:r>
      <w:r w:rsidR="00C86232" w:rsidRPr="00592BA6">
        <w:rPr>
          <w:rFonts w:ascii="Georgia" w:hAnsi="Georgia" w:cs="Helvetica"/>
          <w:color w:val="auto"/>
          <w:sz w:val="22"/>
        </w:rPr>
        <w:t xml:space="preserve"> 5% MeOH.  Cartridges were then eluted twice with 4 m</w:t>
      </w:r>
      <w:r w:rsidR="00C86232">
        <w:rPr>
          <w:rFonts w:ascii="Georgia" w:hAnsi="Georgia" w:cs="Helvetica"/>
          <w:color w:val="auto"/>
          <w:sz w:val="22"/>
        </w:rPr>
        <w:t>l</w:t>
      </w:r>
      <w:r w:rsidR="00C86232" w:rsidRPr="00592BA6">
        <w:rPr>
          <w:rFonts w:ascii="Georgia" w:hAnsi="Georgia" w:cs="Helvetica"/>
          <w:color w:val="auto"/>
          <w:sz w:val="22"/>
        </w:rPr>
        <w:t xml:space="preserve"> EtAc:AOc (75:25) into glass tubes and dried under a nitrogen evaporator at 60-70</w:t>
      </w:r>
      <w:r w:rsidR="00C86232">
        <w:rPr>
          <w:rFonts w:ascii="Georgia" w:hAnsi="Georgia" w:cs="Helvetica"/>
          <w:color w:val="auto"/>
          <w:sz w:val="22"/>
        </w:rPr>
        <w:t>º</w:t>
      </w:r>
      <w:r w:rsidR="00C86232">
        <w:rPr>
          <w:rFonts w:ascii="Georgia" w:hAnsi="Georgia" w:cs="Helvetica"/>
          <w:color w:val="auto"/>
          <w:sz w:val="22"/>
          <w:vertAlign w:val="superscript"/>
        </w:rPr>
        <w:t xml:space="preserve"> </w:t>
      </w:r>
      <w:r>
        <w:rPr>
          <w:rFonts w:ascii="Georgia" w:hAnsi="Georgia" w:cs="Helvetica"/>
          <w:color w:val="auto"/>
          <w:sz w:val="22"/>
        </w:rPr>
        <w:t>C.</w:t>
      </w:r>
    </w:p>
    <w:p w14:paraId="282D9196" w14:textId="77777777" w:rsidR="00F805AC" w:rsidRDefault="00F805AC" w:rsidP="00B2235B">
      <w:pPr>
        <w:spacing w:line="480" w:lineRule="auto"/>
        <w:rPr>
          <w:rFonts w:ascii="Georgia" w:hAnsi="Georgia" w:cs="Helvetica"/>
          <w:color w:val="auto"/>
          <w:sz w:val="22"/>
        </w:rPr>
      </w:pPr>
    </w:p>
    <w:p w14:paraId="7736F052" w14:textId="77777777" w:rsidR="00F805AC" w:rsidRPr="00592BA6" w:rsidRDefault="00B2235B" w:rsidP="00B2235B">
      <w:pPr>
        <w:pStyle w:val="BodyNoIndent"/>
        <w:rPr>
          <w:rFonts w:ascii="Georgia" w:hAnsi="Georgia"/>
          <w:sz w:val="22"/>
          <w:szCs w:val="24"/>
        </w:rPr>
      </w:pPr>
      <w:r>
        <w:rPr>
          <w:rFonts w:ascii="Georgia" w:hAnsi="Georgia"/>
          <w:i/>
          <w:sz w:val="22"/>
          <w:szCs w:val="24"/>
        </w:rPr>
        <w:t xml:space="preserve">Chemical Analysis: </w:t>
      </w:r>
      <w:r w:rsidR="00F805AC" w:rsidRPr="00592BA6">
        <w:rPr>
          <w:rFonts w:ascii="Georgia" w:hAnsi="Georgia"/>
          <w:i/>
          <w:sz w:val="22"/>
          <w:szCs w:val="24"/>
        </w:rPr>
        <w:t>Quality Assurance</w:t>
      </w:r>
    </w:p>
    <w:p w14:paraId="11AE68E9" w14:textId="77777777" w:rsidR="00F805AC" w:rsidRPr="00592BA6" w:rsidRDefault="00F805AC" w:rsidP="00B2235B">
      <w:pPr>
        <w:pStyle w:val="BodyNoIndent"/>
        <w:ind w:firstLine="720"/>
        <w:rPr>
          <w:rFonts w:ascii="Georgia" w:hAnsi="Georgia"/>
          <w:sz w:val="22"/>
          <w:szCs w:val="24"/>
        </w:rPr>
      </w:pPr>
      <w:r w:rsidRPr="00592BA6">
        <w:rPr>
          <w:rFonts w:ascii="Georgia" w:hAnsi="Georgia"/>
          <w:sz w:val="22"/>
          <w:szCs w:val="24"/>
        </w:rPr>
        <w:t>Pesticide concentrations in water and PEDs were validated against a comprehensive set of performance based quality assurance/quality control (QA/QC) criteria including laboratory blanks, matrix spikes, and surrogate recovery. One laboratory water blank was processed to test the cleanliness of the laboratory procedures.  No pesticides were detected in any of the blank samples.  Ring-</w:t>
      </w:r>
      <w:r w:rsidRPr="00592BA6">
        <w:rPr>
          <w:rFonts w:ascii="Georgia" w:hAnsi="Georgia"/>
          <w:sz w:val="22"/>
          <w:szCs w:val="24"/>
          <w:vertAlign w:val="superscript"/>
        </w:rPr>
        <w:t>13</w:t>
      </w:r>
      <w:r w:rsidRPr="00592BA6">
        <w:rPr>
          <w:rFonts w:ascii="Georgia" w:hAnsi="Georgia"/>
          <w:sz w:val="22"/>
          <w:szCs w:val="24"/>
        </w:rPr>
        <w:t>C</w:t>
      </w:r>
      <w:r w:rsidRPr="00592BA6">
        <w:rPr>
          <w:rFonts w:ascii="Georgia" w:hAnsi="Georgia"/>
          <w:sz w:val="22"/>
          <w:szCs w:val="24"/>
          <w:vertAlign w:val="subscript"/>
        </w:rPr>
        <w:t>3</w:t>
      </w:r>
      <w:r w:rsidRPr="00592BA6">
        <w:rPr>
          <w:rFonts w:ascii="Georgia" w:hAnsi="Georgia"/>
          <w:sz w:val="22"/>
          <w:szCs w:val="24"/>
        </w:rPr>
        <w:t>-atrazine and diethyl-d</w:t>
      </w:r>
      <w:r w:rsidRPr="00592BA6">
        <w:rPr>
          <w:rFonts w:ascii="Georgia" w:hAnsi="Georgia"/>
          <w:sz w:val="22"/>
          <w:szCs w:val="24"/>
          <w:vertAlign w:val="subscript"/>
        </w:rPr>
        <w:t>10</w:t>
      </w:r>
      <w:r w:rsidRPr="00592BA6">
        <w:rPr>
          <w:rFonts w:ascii="Georgia" w:hAnsi="Georgia"/>
          <w:sz w:val="22"/>
          <w:szCs w:val="24"/>
        </w:rPr>
        <w:t xml:space="preserve"> diazinon were used as recovery surrogates to assess the efficiency of sample extraction.  Percent recovery of surrogates for all samples analyzed (including QC samples) ranged from 77</w:t>
      </w:r>
      <w:r>
        <w:rPr>
          <w:rFonts w:ascii="Georgia" w:hAnsi="Georgia"/>
          <w:sz w:val="22"/>
          <w:szCs w:val="24"/>
        </w:rPr>
        <w:t>%</w:t>
      </w:r>
      <w:r w:rsidRPr="00592BA6">
        <w:rPr>
          <w:rFonts w:ascii="Georgia" w:hAnsi="Georgia"/>
          <w:sz w:val="22"/>
          <w:szCs w:val="24"/>
        </w:rPr>
        <w:t xml:space="preserve"> to 101% with a mean (</w:t>
      </w:r>
      <w:r w:rsidRPr="00592BA6">
        <w:rPr>
          <w:rFonts w:ascii="Georgia" w:hAnsi="Georgia"/>
          <w:sz w:val="22"/>
          <w:szCs w:val="24"/>
          <w:u w:val="single"/>
        </w:rPr>
        <w:t>+</w:t>
      </w:r>
      <w:r w:rsidRPr="00592BA6">
        <w:rPr>
          <w:rFonts w:ascii="Georgia" w:hAnsi="Georgia"/>
          <w:sz w:val="22"/>
          <w:szCs w:val="24"/>
        </w:rPr>
        <w:t xml:space="preserve"> standard deviation) of ring-</w:t>
      </w:r>
      <w:r w:rsidRPr="00592BA6">
        <w:rPr>
          <w:rFonts w:ascii="Georgia" w:hAnsi="Georgia"/>
          <w:sz w:val="22"/>
          <w:szCs w:val="24"/>
          <w:vertAlign w:val="superscript"/>
        </w:rPr>
        <w:t>13</w:t>
      </w:r>
      <w:r w:rsidRPr="00592BA6">
        <w:rPr>
          <w:rFonts w:ascii="Georgia" w:hAnsi="Georgia"/>
          <w:sz w:val="22"/>
          <w:szCs w:val="24"/>
        </w:rPr>
        <w:t>C</w:t>
      </w:r>
      <w:r w:rsidRPr="00592BA6">
        <w:rPr>
          <w:rFonts w:ascii="Georgia" w:hAnsi="Georgia"/>
          <w:sz w:val="22"/>
          <w:szCs w:val="24"/>
          <w:vertAlign w:val="subscript"/>
        </w:rPr>
        <w:t>3</w:t>
      </w:r>
      <w:r w:rsidRPr="00592BA6">
        <w:rPr>
          <w:rFonts w:ascii="Georgia" w:hAnsi="Georgia"/>
          <w:sz w:val="22"/>
          <w:szCs w:val="24"/>
        </w:rPr>
        <w:t>-atrazine and diethyl-d</w:t>
      </w:r>
      <w:r w:rsidRPr="00592BA6">
        <w:rPr>
          <w:rFonts w:ascii="Georgia" w:hAnsi="Georgia"/>
          <w:sz w:val="22"/>
          <w:szCs w:val="24"/>
          <w:vertAlign w:val="subscript"/>
        </w:rPr>
        <w:t>10</w:t>
      </w:r>
      <w:r w:rsidRPr="00592BA6">
        <w:rPr>
          <w:rFonts w:ascii="Georgia" w:hAnsi="Georgia"/>
          <w:sz w:val="22"/>
          <w:szCs w:val="24"/>
        </w:rPr>
        <w:t xml:space="preserve"> diazinon of 90 </w:t>
      </w:r>
      <w:r w:rsidRPr="00592BA6">
        <w:rPr>
          <w:rFonts w:ascii="Georgia" w:hAnsi="Georgia"/>
          <w:sz w:val="22"/>
          <w:szCs w:val="24"/>
          <w:u w:val="single"/>
        </w:rPr>
        <w:t>+</w:t>
      </w:r>
      <w:r w:rsidRPr="00592BA6">
        <w:rPr>
          <w:rFonts w:ascii="Georgia" w:hAnsi="Georgia"/>
          <w:sz w:val="22"/>
          <w:szCs w:val="24"/>
        </w:rPr>
        <w:t xml:space="preserve"> 6 % and 90 </w:t>
      </w:r>
      <w:r w:rsidRPr="00592BA6">
        <w:rPr>
          <w:rFonts w:ascii="Georgia" w:hAnsi="Georgia"/>
          <w:sz w:val="22"/>
          <w:szCs w:val="24"/>
          <w:u w:val="single"/>
        </w:rPr>
        <w:t>+</w:t>
      </w:r>
      <w:r w:rsidRPr="00592BA6">
        <w:rPr>
          <w:rFonts w:ascii="Georgia" w:hAnsi="Georgia"/>
          <w:sz w:val="22"/>
          <w:szCs w:val="24"/>
        </w:rPr>
        <w:t xml:space="preserve"> 7 %, respectively.  Two water samples were spiked in the laboratory with pesticides and the percent recovery ranged from 82 to 110% with a median of 92%.  </w:t>
      </w:r>
    </w:p>
    <w:p w14:paraId="6AFB7481" w14:textId="77777777" w:rsidR="00F805AC" w:rsidRPr="00592BA6" w:rsidRDefault="00F805AC" w:rsidP="00B2235B">
      <w:pPr>
        <w:spacing w:line="480" w:lineRule="auto"/>
        <w:ind w:firstLine="720"/>
        <w:rPr>
          <w:rFonts w:ascii="Georgia" w:hAnsi="Georgia"/>
          <w:color w:val="auto"/>
          <w:sz w:val="22"/>
        </w:rPr>
      </w:pPr>
      <w:r w:rsidRPr="00592BA6">
        <w:rPr>
          <w:rFonts w:ascii="Georgia" w:hAnsi="Georgia"/>
          <w:color w:val="auto"/>
          <w:sz w:val="22"/>
        </w:rPr>
        <w:t>No pesticides were detected in the two blanks processed with the PED samples.  Percent recoveries of the surrogates, ring-</w:t>
      </w:r>
      <w:r w:rsidRPr="00592BA6">
        <w:rPr>
          <w:rFonts w:ascii="Georgia" w:hAnsi="Georgia"/>
          <w:color w:val="auto"/>
          <w:sz w:val="22"/>
          <w:vertAlign w:val="superscript"/>
        </w:rPr>
        <w:t>13</w:t>
      </w:r>
      <w:r w:rsidRPr="00592BA6">
        <w:rPr>
          <w:rFonts w:ascii="Georgia" w:hAnsi="Georgia"/>
          <w:color w:val="auto"/>
          <w:sz w:val="22"/>
        </w:rPr>
        <w:t>C</w:t>
      </w:r>
      <w:r w:rsidRPr="00592BA6">
        <w:rPr>
          <w:rFonts w:ascii="Georgia" w:hAnsi="Georgia"/>
          <w:color w:val="auto"/>
          <w:sz w:val="22"/>
          <w:vertAlign w:val="subscript"/>
        </w:rPr>
        <w:t>12</w:t>
      </w:r>
      <w:r w:rsidRPr="00592BA6">
        <w:rPr>
          <w:rFonts w:ascii="Georgia" w:hAnsi="Georgia"/>
          <w:color w:val="auto"/>
          <w:sz w:val="22"/>
        </w:rPr>
        <w:t>-</w:t>
      </w:r>
      <w:r w:rsidRPr="00592BA6">
        <w:rPr>
          <w:rFonts w:ascii="Georgia" w:hAnsi="Georgia"/>
          <w:i/>
          <w:color w:val="auto"/>
          <w:sz w:val="22"/>
        </w:rPr>
        <w:t>p,p’</w:t>
      </w:r>
      <w:r w:rsidRPr="00592BA6">
        <w:rPr>
          <w:rFonts w:ascii="Georgia" w:hAnsi="Georgia"/>
          <w:color w:val="auto"/>
          <w:sz w:val="22"/>
        </w:rPr>
        <w:t xml:space="preserve"> DDE and phenoxy-</w:t>
      </w:r>
      <w:r w:rsidRPr="00592BA6">
        <w:rPr>
          <w:rFonts w:ascii="Georgia" w:hAnsi="Georgia"/>
          <w:color w:val="auto"/>
          <w:sz w:val="22"/>
          <w:vertAlign w:val="superscript"/>
        </w:rPr>
        <w:t>13</w:t>
      </w:r>
      <w:r w:rsidRPr="00592BA6">
        <w:rPr>
          <w:rFonts w:ascii="Georgia" w:hAnsi="Georgia"/>
          <w:color w:val="auto"/>
          <w:sz w:val="22"/>
        </w:rPr>
        <w:t>C</w:t>
      </w:r>
      <w:r w:rsidRPr="00592BA6">
        <w:rPr>
          <w:rFonts w:ascii="Georgia" w:hAnsi="Georgia"/>
          <w:color w:val="auto"/>
          <w:sz w:val="22"/>
          <w:vertAlign w:val="subscript"/>
        </w:rPr>
        <w:t>6</w:t>
      </w:r>
      <w:r w:rsidRPr="00592BA6">
        <w:rPr>
          <w:rFonts w:ascii="Georgia" w:hAnsi="Georgia"/>
          <w:color w:val="auto"/>
          <w:sz w:val="22"/>
        </w:rPr>
        <w:t>-</w:t>
      </w:r>
      <w:r w:rsidRPr="00592BA6">
        <w:rPr>
          <w:rFonts w:ascii="Georgia" w:hAnsi="Georgia"/>
          <w:i/>
          <w:color w:val="auto"/>
          <w:sz w:val="22"/>
        </w:rPr>
        <w:t>cis</w:t>
      </w:r>
      <w:r w:rsidRPr="00592BA6">
        <w:rPr>
          <w:rFonts w:ascii="Georgia" w:hAnsi="Georgia"/>
          <w:color w:val="auto"/>
          <w:sz w:val="22"/>
        </w:rPr>
        <w:t>-permethrin ranged from 72 to 101 %.  The mean (</w:t>
      </w:r>
      <w:r w:rsidRPr="00592BA6">
        <w:rPr>
          <w:rFonts w:ascii="Georgia" w:hAnsi="Georgia"/>
          <w:color w:val="auto"/>
          <w:sz w:val="22"/>
          <w:u w:val="single"/>
        </w:rPr>
        <w:t>+</w:t>
      </w:r>
      <w:r w:rsidRPr="00592BA6">
        <w:rPr>
          <w:rFonts w:ascii="Georgia" w:hAnsi="Georgia"/>
          <w:color w:val="auto"/>
          <w:sz w:val="22"/>
        </w:rPr>
        <w:t xml:space="preserve"> standard deviation)</w:t>
      </w:r>
      <w:r>
        <w:rPr>
          <w:rFonts w:ascii="Georgia" w:hAnsi="Georgia"/>
          <w:color w:val="auto"/>
          <w:sz w:val="22"/>
        </w:rPr>
        <w:t xml:space="preserve"> </w:t>
      </w:r>
      <w:r w:rsidRPr="00592BA6">
        <w:rPr>
          <w:rFonts w:ascii="Georgia" w:hAnsi="Georgia"/>
          <w:color w:val="auto"/>
          <w:sz w:val="22"/>
        </w:rPr>
        <w:t>of ring-</w:t>
      </w:r>
      <w:r w:rsidRPr="00592BA6">
        <w:rPr>
          <w:rFonts w:ascii="Georgia" w:hAnsi="Georgia"/>
          <w:color w:val="auto"/>
          <w:sz w:val="22"/>
          <w:vertAlign w:val="superscript"/>
        </w:rPr>
        <w:t>13</w:t>
      </w:r>
      <w:r w:rsidRPr="00592BA6">
        <w:rPr>
          <w:rFonts w:ascii="Georgia" w:hAnsi="Georgia"/>
          <w:color w:val="auto"/>
          <w:sz w:val="22"/>
        </w:rPr>
        <w:t>C</w:t>
      </w:r>
      <w:r w:rsidRPr="00592BA6">
        <w:rPr>
          <w:rFonts w:ascii="Georgia" w:hAnsi="Georgia"/>
          <w:color w:val="auto"/>
          <w:sz w:val="22"/>
          <w:vertAlign w:val="subscript"/>
        </w:rPr>
        <w:t>12</w:t>
      </w:r>
      <w:r w:rsidRPr="00592BA6">
        <w:rPr>
          <w:rFonts w:ascii="Georgia" w:hAnsi="Georgia"/>
          <w:color w:val="auto"/>
          <w:sz w:val="22"/>
        </w:rPr>
        <w:t>-</w:t>
      </w:r>
      <w:r w:rsidRPr="00592BA6">
        <w:rPr>
          <w:rFonts w:ascii="Georgia" w:hAnsi="Georgia"/>
          <w:i/>
          <w:color w:val="auto"/>
          <w:sz w:val="22"/>
        </w:rPr>
        <w:t>p,p’</w:t>
      </w:r>
      <w:r w:rsidRPr="00592BA6">
        <w:rPr>
          <w:rFonts w:ascii="Georgia" w:hAnsi="Georgia"/>
          <w:color w:val="auto"/>
          <w:sz w:val="22"/>
        </w:rPr>
        <w:t xml:space="preserve"> DDE and phenoxy-</w:t>
      </w:r>
      <w:r w:rsidRPr="00592BA6">
        <w:rPr>
          <w:rFonts w:ascii="Georgia" w:hAnsi="Georgia"/>
          <w:color w:val="auto"/>
          <w:sz w:val="22"/>
          <w:vertAlign w:val="superscript"/>
        </w:rPr>
        <w:t>13</w:t>
      </w:r>
      <w:r w:rsidRPr="00592BA6">
        <w:rPr>
          <w:rFonts w:ascii="Georgia" w:hAnsi="Georgia"/>
          <w:color w:val="auto"/>
          <w:sz w:val="22"/>
        </w:rPr>
        <w:t>C</w:t>
      </w:r>
      <w:r w:rsidRPr="00592BA6">
        <w:rPr>
          <w:rFonts w:ascii="Georgia" w:hAnsi="Georgia"/>
          <w:color w:val="auto"/>
          <w:sz w:val="22"/>
          <w:vertAlign w:val="subscript"/>
        </w:rPr>
        <w:t>6</w:t>
      </w:r>
      <w:r w:rsidRPr="00592BA6">
        <w:rPr>
          <w:rFonts w:ascii="Georgia" w:hAnsi="Georgia"/>
          <w:color w:val="auto"/>
          <w:sz w:val="22"/>
        </w:rPr>
        <w:t>-</w:t>
      </w:r>
      <w:r w:rsidRPr="00592BA6">
        <w:rPr>
          <w:rFonts w:ascii="Georgia" w:hAnsi="Georgia"/>
          <w:i/>
          <w:color w:val="auto"/>
          <w:sz w:val="22"/>
        </w:rPr>
        <w:t>cis</w:t>
      </w:r>
      <w:r w:rsidRPr="00592BA6">
        <w:rPr>
          <w:rFonts w:ascii="Georgia" w:hAnsi="Georgia"/>
          <w:color w:val="auto"/>
          <w:sz w:val="22"/>
        </w:rPr>
        <w:t xml:space="preserve">-permethrin of 88 </w:t>
      </w:r>
      <w:r w:rsidRPr="00592BA6">
        <w:rPr>
          <w:rFonts w:ascii="Georgia" w:hAnsi="Georgia"/>
          <w:color w:val="auto"/>
          <w:sz w:val="22"/>
          <w:u w:val="single"/>
        </w:rPr>
        <w:t>+</w:t>
      </w:r>
      <w:r w:rsidRPr="00592BA6">
        <w:rPr>
          <w:rFonts w:ascii="Georgia" w:hAnsi="Georgia"/>
          <w:color w:val="auto"/>
          <w:sz w:val="22"/>
        </w:rPr>
        <w:t xml:space="preserve"> 8% and 87 </w:t>
      </w:r>
      <w:r w:rsidRPr="00592BA6">
        <w:rPr>
          <w:rFonts w:ascii="Georgia" w:hAnsi="Georgia"/>
          <w:color w:val="auto"/>
          <w:sz w:val="22"/>
          <w:u w:val="single"/>
        </w:rPr>
        <w:t>+</w:t>
      </w:r>
      <w:r w:rsidRPr="00592BA6">
        <w:rPr>
          <w:rFonts w:ascii="Georgia" w:hAnsi="Georgia"/>
          <w:color w:val="auto"/>
          <w:sz w:val="22"/>
        </w:rPr>
        <w:t xml:space="preserve"> 9 %, respectively.  Two samples were spiked with pesticides and processes with PED samples and the percent recovery of matrix spiked samples ranged from 70 to 99 % with a median of 85 %.</w:t>
      </w:r>
    </w:p>
    <w:p w14:paraId="4BB16C1A" w14:textId="77777777" w:rsidR="00F805AC" w:rsidRPr="00592BA6" w:rsidRDefault="00F805AC" w:rsidP="00B2235B">
      <w:pPr>
        <w:pStyle w:val="BodyText"/>
        <w:spacing w:line="480" w:lineRule="auto"/>
        <w:ind w:firstLine="720"/>
      </w:pPr>
    </w:p>
    <w:p w14:paraId="708D095E" w14:textId="77777777" w:rsidR="00F805AC" w:rsidRPr="00592BA6" w:rsidRDefault="00B2235B" w:rsidP="00B2235B">
      <w:pPr>
        <w:pStyle w:val="BodyNoIndent"/>
        <w:rPr>
          <w:rFonts w:ascii="Georgia" w:hAnsi="Georgia"/>
          <w:i/>
          <w:sz w:val="22"/>
          <w:szCs w:val="24"/>
        </w:rPr>
      </w:pPr>
      <w:r>
        <w:rPr>
          <w:rFonts w:ascii="Georgia" w:hAnsi="Georgia"/>
          <w:i/>
          <w:sz w:val="22"/>
          <w:szCs w:val="24"/>
        </w:rPr>
        <w:t xml:space="preserve">Chemical Analysis: Determination of </w:t>
      </w:r>
      <w:r w:rsidR="00F805AC" w:rsidRPr="00592BA6">
        <w:rPr>
          <w:rFonts w:ascii="Georgia" w:hAnsi="Georgia"/>
          <w:i/>
          <w:sz w:val="22"/>
          <w:szCs w:val="24"/>
        </w:rPr>
        <w:t>Detection Limits</w:t>
      </w:r>
    </w:p>
    <w:p w14:paraId="6DAD58E0" w14:textId="77777777" w:rsidR="00F805AC" w:rsidRDefault="00F805AC" w:rsidP="00B2235B">
      <w:pPr>
        <w:pStyle w:val="BodyText"/>
        <w:spacing w:line="480" w:lineRule="auto"/>
        <w:ind w:firstLine="720"/>
        <w:rPr>
          <w:rFonts w:ascii="Georgia" w:hAnsi="Georgia"/>
          <w:sz w:val="22"/>
          <w:szCs w:val="24"/>
        </w:rPr>
      </w:pPr>
      <w:r w:rsidRPr="00592BA6">
        <w:rPr>
          <w:rFonts w:ascii="Georgia" w:hAnsi="Georgia"/>
          <w:sz w:val="22"/>
          <w:szCs w:val="24"/>
        </w:rPr>
        <w:t xml:space="preserve">Surface-water method detection limits (MDLs) were validated for the majority of the pesticides previously (Hladik </w:t>
      </w:r>
      <w:r>
        <w:rPr>
          <w:rFonts w:ascii="Georgia" w:hAnsi="Georgia"/>
          <w:sz w:val="22"/>
          <w:szCs w:val="24"/>
        </w:rPr>
        <w:t>et al.</w:t>
      </w:r>
      <w:r w:rsidRPr="00592BA6">
        <w:rPr>
          <w:rFonts w:ascii="Georgia" w:hAnsi="Georgia"/>
          <w:sz w:val="22"/>
          <w:szCs w:val="24"/>
        </w:rPr>
        <w:t xml:space="preserve">, 2008) using the EPA procedure described in </w:t>
      </w:r>
      <w:r w:rsidRPr="00592BA6">
        <w:rPr>
          <w:rFonts w:ascii="Georgia" w:hAnsi="Georgia"/>
          <w:bCs/>
          <w:sz w:val="22"/>
          <w:szCs w:val="24"/>
        </w:rPr>
        <w:t>40 CFR</w:t>
      </w:r>
      <w:r w:rsidRPr="00592BA6">
        <w:rPr>
          <w:rFonts w:ascii="Georgia" w:hAnsi="Georgia"/>
          <w:sz w:val="22"/>
          <w:szCs w:val="24"/>
        </w:rPr>
        <w:t xml:space="preserve"> Part 136 (U.S. Environmental Protection Agency, 1992).  Water samples used to determine MDLs were collected in 2005 from the Sacramento River at Miller Park.  MDLs for all compounds in water ranged from 0.9 to 10.1 ng/L and instrumental limits of detection (LOD) ranged from 0.5 </w:t>
      </w:r>
      <w:r>
        <w:rPr>
          <w:rFonts w:ascii="Georgia" w:hAnsi="Georgia"/>
          <w:sz w:val="22"/>
          <w:szCs w:val="24"/>
        </w:rPr>
        <w:t>to 1.0 ng/L (Table B.1, Appendix B</w:t>
      </w:r>
      <w:r w:rsidRPr="00592BA6">
        <w:rPr>
          <w:rFonts w:ascii="Georgia" w:hAnsi="Georgia"/>
          <w:sz w:val="22"/>
          <w:szCs w:val="24"/>
        </w:rPr>
        <w:t>).  Analytes detected at concentrations greater than the instrumental LOD but less than the MDL were reported as estimates.  Instrumental LODs for pesticides measured in PEDs ranged from 5 to 10 ng</w:t>
      </w:r>
      <w:r>
        <w:rPr>
          <w:rFonts w:ascii="Georgia" w:hAnsi="Georgia"/>
          <w:sz w:val="22"/>
          <w:szCs w:val="24"/>
        </w:rPr>
        <w:t>/PED (Table B.2, Appendix B</w:t>
      </w:r>
      <w:r w:rsidRPr="00592BA6">
        <w:rPr>
          <w:rFonts w:ascii="Georgia" w:hAnsi="Georgia"/>
          <w:sz w:val="22"/>
          <w:szCs w:val="24"/>
        </w:rPr>
        <w:t xml:space="preserve">).  </w:t>
      </w:r>
    </w:p>
    <w:p w14:paraId="2E3781C9" w14:textId="77777777" w:rsidR="00F805AC" w:rsidRPr="00F805AC" w:rsidRDefault="00F805AC" w:rsidP="00B2235B">
      <w:pPr>
        <w:pStyle w:val="BodyNoIndent"/>
      </w:pPr>
    </w:p>
    <w:p w14:paraId="227AD1F7" w14:textId="77777777" w:rsidR="00F805AC" w:rsidRPr="00592BA6" w:rsidRDefault="00B2235B" w:rsidP="00B2235B">
      <w:pPr>
        <w:pStyle w:val="BodyNoIndent"/>
        <w:rPr>
          <w:rFonts w:ascii="Georgia" w:hAnsi="Georgia"/>
          <w:i/>
          <w:sz w:val="22"/>
          <w:szCs w:val="24"/>
        </w:rPr>
      </w:pPr>
      <w:r>
        <w:rPr>
          <w:rFonts w:ascii="Georgia" w:hAnsi="Georgia"/>
          <w:i/>
          <w:sz w:val="22"/>
          <w:szCs w:val="24"/>
        </w:rPr>
        <w:t xml:space="preserve">Chemical analysis: </w:t>
      </w:r>
      <w:r w:rsidR="00F805AC" w:rsidRPr="00592BA6">
        <w:rPr>
          <w:rFonts w:ascii="Georgia" w:hAnsi="Georgia"/>
          <w:i/>
          <w:sz w:val="22"/>
          <w:szCs w:val="24"/>
        </w:rPr>
        <w:t>Instrumental analysis</w:t>
      </w:r>
    </w:p>
    <w:p w14:paraId="5CD5B151" w14:textId="77777777" w:rsidR="00F805AC" w:rsidRPr="003754AB" w:rsidDel="00EF24DA" w:rsidRDefault="00F805AC" w:rsidP="00B2235B">
      <w:pPr>
        <w:pStyle w:val="BodyNoIndent"/>
        <w:ind w:firstLine="720"/>
        <w:rPr>
          <w:rFonts w:ascii="Georgia" w:hAnsi="Georgia"/>
          <w:sz w:val="22"/>
          <w:szCs w:val="24"/>
        </w:rPr>
      </w:pPr>
      <w:r w:rsidRPr="00592BA6">
        <w:rPr>
          <w:rFonts w:ascii="Georgia" w:hAnsi="Georgia"/>
          <w:sz w:val="22"/>
          <w:szCs w:val="24"/>
        </w:rPr>
        <w:t xml:space="preserve">All sample extracts (1 µL injection volume) were analyzed on an Agilent 5975 gas chromatograph (GC)/electron ionization mass spectrometer (EI-MS) (Folsom, CA, USA).  Analyte separation on the GC was achieved using a 30 m x 0.25 mm i.d., 0.25 </w:t>
      </w:r>
      <w:r w:rsidRPr="00592BA6">
        <w:rPr>
          <w:rFonts w:ascii="Georgia" w:hAnsi="Georgia"/>
          <w:sz w:val="22"/>
          <w:szCs w:val="22"/>
        </w:rPr>
        <w:sym w:font="Symbol" w:char="F06D"/>
      </w:r>
      <w:r w:rsidRPr="00592BA6">
        <w:rPr>
          <w:rFonts w:ascii="Georgia" w:hAnsi="Georgia"/>
          <w:sz w:val="22"/>
          <w:szCs w:val="24"/>
        </w:rPr>
        <w:t>m DB-5ms fused silica column (Agilent Technologies, Folsom, California) with helium as the carrier gas. The temperature of the splitless injector was held constant at 275º</w:t>
      </w:r>
      <w:r>
        <w:rPr>
          <w:rFonts w:ascii="Georgia" w:hAnsi="Georgia"/>
          <w:sz w:val="22"/>
          <w:szCs w:val="24"/>
        </w:rPr>
        <w:t xml:space="preserve"> </w:t>
      </w:r>
      <w:r w:rsidRPr="00592BA6">
        <w:rPr>
          <w:rFonts w:ascii="Georgia" w:hAnsi="Georgia"/>
          <w:sz w:val="22"/>
          <w:szCs w:val="24"/>
        </w:rPr>
        <w:t>C.  The temperature program was 80º</w:t>
      </w:r>
      <w:r>
        <w:rPr>
          <w:rFonts w:ascii="Georgia" w:hAnsi="Georgia"/>
          <w:sz w:val="22"/>
          <w:szCs w:val="24"/>
        </w:rPr>
        <w:t xml:space="preserve"> </w:t>
      </w:r>
      <w:r w:rsidRPr="00592BA6">
        <w:rPr>
          <w:rFonts w:ascii="Georgia" w:hAnsi="Georgia"/>
          <w:sz w:val="22"/>
          <w:szCs w:val="24"/>
        </w:rPr>
        <w:t>C (hold 0.5 min), increase to 120º</w:t>
      </w:r>
      <w:r>
        <w:rPr>
          <w:rFonts w:ascii="Georgia" w:hAnsi="Georgia"/>
          <w:sz w:val="22"/>
          <w:szCs w:val="24"/>
        </w:rPr>
        <w:t xml:space="preserve"> </w:t>
      </w:r>
      <w:r w:rsidRPr="00592BA6">
        <w:rPr>
          <w:rFonts w:ascii="Georgia" w:hAnsi="Georgia"/>
          <w:sz w:val="22"/>
          <w:szCs w:val="24"/>
        </w:rPr>
        <w:t>C at 10º</w:t>
      </w:r>
      <w:r>
        <w:rPr>
          <w:rFonts w:ascii="Georgia" w:hAnsi="Georgia"/>
          <w:sz w:val="22"/>
          <w:szCs w:val="24"/>
        </w:rPr>
        <w:t xml:space="preserve"> </w:t>
      </w:r>
      <w:r w:rsidRPr="00592BA6">
        <w:rPr>
          <w:rFonts w:ascii="Georgia" w:hAnsi="Georgia"/>
          <w:sz w:val="22"/>
          <w:szCs w:val="24"/>
        </w:rPr>
        <w:t>C/min, increase to 200º</w:t>
      </w:r>
      <w:r>
        <w:rPr>
          <w:rFonts w:ascii="Georgia" w:hAnsi="Georgia"/>
          <w:sz w:val="22"/>
          <w:szCs w:val="24"/>
        </w:rPr>
        <w:t xml:space="preserve"> </w:t>
      </w:r>
      <w:r w:rsidRPr="00592BA6">
        <w:rPr>
          <w:rFonts w:ascii="Georgia" w:hAnsi="Georgia"/>
          <w:sz w:val="22"/>
          <w:szCs w:val="24"/>
        </w:rPr>
        <w:t>C at 3º</w:t>
      </w:r>
      <w:r>
        <w:rPr>
          <w:rFonts w:ascii="Georgia" w:hAnsi="Georgia"/>
          <w:sz w:val="22"/>
          <w:szCs w:val="24"/>
        </w:rPr>
        <w:t xml:space="preserve"> </w:t>
      </w:r>
      <w:r w:rsidRPr="00592BA6">
        <w:rPr>
          <w:rFonts w:ascii="Georgia" w:hAnsi="Georgia"/>
          <w:sz w:val="22"/>
          <w:szCs w:val="24"/>
        </w:rPr>
        <w:t>C/min (hold 5 min), followed by a third increase to 219º</w:t>
      </w:r>
      <w:r>
        <w:rPr>
          <w:rFonts w:ascii="Georgia" w:hAnsi="Georgia"/>
          <w:sz w:val="22"/>
          <w:szCs w:val="24"/>
        </w:rPr>
        <w:t xml:space="preserve"> </w:t>
      </w:r>
      <w:r w:rsidRPr="00592BA6">
        <w:rPr>
          <w:rFonts w:ascii="Georgia" w:hAnsi="Georgia"/>
          <w:sz w:val="22"/>
          <w:szCs w:val="24"/>
        </w:rPr>
        <w:t>C at 3º</w:t>
      </w:r>
      <w:r>
        <w:rPr>
          <w:rFonts w:ascii="Georgia" w:hAnsi="Georgia"/>
          <w:sz w:val="22"/>
          <w:szCs w:val="24"/>
        </w:rPr>
        <w:t xml:space="preserve"> </w:t>
      </w:r>
      <w:r w:rsidRPr="00592BA6">
        <w:rPr>
          <w:rFonts w:ascii="Georgia" w:hAnsi="Georgia"/>
          <w:sz w:val="22"/>
          <w:szCs w:val="24"/>
        </w:rPr>
        <w:t>C/min, and a final increase to 300º</w:t>
      </w:r>
      <w:r>
        <w:rPr>
          <w:rFonts w:ascii="Georgia" w:hAnsi="Georgia"/>
          <w:sz w:val="22"/>
          <w:szCs w:val="24"/>
        </w:rPr>
        <w:t xml:space="preserve"> </w:t>
      </w:r>
      <w:r w:rsidRPr="00592BA6">
        <w:rPr>
          <w:rFonts w:ascii="Georgia" w:hAnsi="Georgia"/>
          <w:sz w:val="22"/>
          <w:szCs w:val="24"/>
        </w:rPr>
        <w:t>C at 10º</w:t>
      </w:r>
      <w:r>
        <w:rPr>
          <w:rFonts w:ascii="Georgia" w:hAnsi="Georgia"/>
          <w:sz w:val="22"/>
          <w:szCs w:val="24"/>
        </w:rPr>
        <w:t xml:space="preserve"> </w:t>
      </w:r>
      <w:r w:rsidRPr="00592BA6">
        <w:rPr>
          <w:rFonts w:ascii="Georgia" w:hAnsi="Georgia"/>
          <w:sz w:val="22"/>
          <w:szCs w:val="24"/>
        </w:rPr>
        <w:t>C/min (hold 10 min).  The transfer line, quadrupole and source temperatures were 280</w:t>
      </w:r>
      <w:r w:rsidRPr="004C7590">
        <w:rPr>
          <w:rFonts w:ascii="Georgia" w:hAnsi="Georgia"/>
          <w:sz w:val="22"/>
          <w:szCs w:val="24"/>
        </w:rPr>
        <w:t xml:space="preserve">º </w:t>
      </w:r>
      <w:r w:rsidRPr="00592BA6">
        <w:rPr>
          <w:rFonts w:ascii="Georgia" w:hAnsi="Georgia"/>
          <w:sz w:val="22"/>
          <w:szCs w:val="24"/>
        </w:rPr>
        <w:t>C, 150</w:t>
      </w:r>
      <w:r>
        <w:rPr>
          <w:rFonts w:ascii="Georgia" w:hAnsi="Georgia"/>
          <w:sz w:val="22"/>
          <w:szCs w:val="24"/>
        </w:rPr>
        <w:t>º</w:t>
      </w:r>
      <w:r>
        <w:rPr>
          <w:rFonts w:ascii="Georgia" w:hAnsi="Georgia"/>
          <w:sz w:val="22"/>
          <w:szCs w:val="24"/>
          <w:vertAlign w:val="superscript"/>
        </w:rPr>
        <w:t xml:space="preserve"> </w:t>
      </w:r>
      <w:r w:rsidRPr="00592BA6">
        <w:rPr>
          <w:rFonts w:ascii="Georgia" w:hAnsi="Georgia"/>
          <w:sz w:val="22"/>
          <w:szCs w:val="24"/>
        </w:rPr>
        <w:t>C and 230</w:t>
      </w:r>
      <w:r>
        <w:rPr>
          <w:rFonts w:ascii="Georgia" w:hAnsi="Georgia"/>
          <w:sz w:val="22"/>
          <w:szCs w:val="24"/>
        </w:rPr>
        <w:t xml:space="preserve">º </w:t>
      </w:r>
      <w:r w:rsidRPr="00592BA6">
        <w:rPr>
          <w:rFonts w:ascii="Georgia" w:hAnsi="Georgia"/>
          <w:sz w:val="22"/>
          <w:szCs w:val="24"/>
        </w:rPr>
        <w:t>C, respectively.  Data for all pesticides was collected in selective ion monitoring mode (SIM) with each compound having one quantifier and 1-2 qual</w:t>
      </w:r>
      <w:r>
        <w:rPr>
          <w:rFonts w:ascii="Georgia" w:hAnsi="Georgia"/>
          <w:sz w:val="22"/>
          <w:szCs w:val="24"/>
        </w:rPr>
        <w:t>ifier ions (Table B.1, Appendix B</w:t>
      </w:r>
      <w:r w:rsidRPr="00592BA6">
        <w:rPr>
          <w:rFonts w:ascii="Georgia" w:hAnsi="Georgia"/>
          <w:sz w:val="22"/>
          <w:szCs w:val="24"/>
        </w:rPr>
        <w:t>).</w:t>
      </w:r>
      <w:r w:rsidR="003754AB">
        <w:rPr>
          <w:rFonts w:ascii="Georgia" w:hAnsi="Georgia"/>
          <w:sz w:val="22"/>
          <w:szCs w:val="24"/>
        </w:rPr>
        <w:t xml:space="preserve">  </w:t>
      </w:r>
      <w:r w:rsidRPr="00592BA6">
        <w:rPr>
          <w:rFonts w:ascii="Georgia" w:hAnsi="Georgia"/>
          <w:sz w:val="22"/>
          <w:szCs w:val="24"/>
        </w:rPr>
        <w:t xml:space="preserve">Instrument calibration was achieved using calibration concentration standards that spanned the linear range of instrument response.  </w:t>
      </w:r>
      <w:r w:rsidRPr="00592BA6">
        <w:rPr>
          <w:rFonts w:ascii="Georgia" w:hAnsi="Georgia"/>
          <w:sz w:val="22"/>
        </w:rPr>
        <w:t xml:space="preserve">Calibration curves were considered acceptable if the </w:t>
      </w:r>
      <w:r>
        <w:rPr>
          <w:rFonts w:ascii="Georgia" w:hAnsi="Georgia"/>
          <w:i/>
          <w:sz w:val="22"/>
        </w:rPr>
        <w:t>r</w:t>
      </w:r>
      <w:r w:rsidRPr="00592BA6">
        <w:rPr>
          <w:rFonts w:ascii="Georgia" w:hAnsi="Georgia"/>
          <w:sz w:val="22"/>
          <w:vertAlign w:val="superscript"/>
        </w:rPr>
        <w:t>2</w:t>
      </w:r>
      <w:r w:rsidRPr="00592BA6">
        <w:rPr>
          <w:rFonts w:ascii="Georgia" w:hAnsi="Georgia"/>
          <w:sz w:val="22"/>
        </w:rPr>
        <w:t xml:space="preserve"> for each individual compound was greater than 0.995. The responses of the instrument was monitored every 6-8 samples with mid-level check standards.  The instruments were considered to be stable if the recovery of the check standards fell within the range of 80-115 % of the nominal standard concentration.  If environmental sample concentrations fell outside the linear range of the instrument, the samples were diluted appropriately and re-analyzed.</w:t>
      </w:r>
    </w:p>
    <w:p w14:paraId="0D00604C" w14:textId="77777777" w:rsidR="003754AB" w:rsidRPr="00C86232" w:rsidRDefault="003754AB" w:rsidP="00B2235B">
      <w:pPr>
        <w:spacing w:line="480" w:lineRule="auto"/>
      </w:pPr>
    </w:p>
    <w:sectPr w:rsidR="003754AB" w:rsidRPr="00C86232" w:rsidSect="003754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C86232"/>
    <w:rsid w:val="00253963"/>
    <w:rsid w:val="00316E8F"/>
    <w:rsid w:val="003754AB"/>
    <w:rsid w:val="00684FCA"/>
    <w:rsid w:val="008E6C57"/>
    <w:rsid w:val="00952408"/>
    <w:rsid w:val="00B2235B"/>
    <w:rsid w:val="00C86232"/>
    <w:rsid w:val="00D34C59"/>
    <w:rsid w:val="00DB72EC"/>
    <w:rsid w:val="00DE4216"/>
    <w:rsid w:val="00F805A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37CA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0A9"/>
    <w:rPr>
      <w:rFonts w:ascii="Univers" w:hAnsi="Univers"/>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NoIndent">
    <w:name w:val="BodyNoIndent"/>
    <w:basedOn w:val="Normal"/>
    <w:link w:val="BodyNoIndentChar"/>
    <w:rsid w:val="00F805AC"/>
    <w:pPr>
      <w:spacing w:line="480" w:lineRule="auto"/>
    </w:pPr>
    <w:rPr>
      <w:rFonts w:ascii="Times New Roman" w:eastAsia="Cambria" w:hAnsi="Times New Roman" w:cs="Times New Roman"/>
      <w:color w:val="auto"/>
      <w:sz w:val="24"/>
      <w:szCs w:val="20"/>
    </w:rPr>
  </w:style>
  <w:style w:type="character" w:customStyle="1" w:styleId="BodyNoIndentChar">
    <w:name w:val="BodyNoIndent Char"/>
    <w:basedOn w:val="DefaultParagraphFont"/>
    <w:link w:val="BodyNoIndent"/>
    <w:locked/>
    <w:rsid w:val="00F805AC"/>
    <w:rPr>
      <w:rFonts w:ascii="Times New Roman" w:eastAsia="Cambria" w:hAnsi="Times New Roman" w:cs="Times New Roman"/>
      <w:szCs w:val="20"/>
    </w:rPr>
  </w:style>
  <w:style w:type="paragraph" w:styleId="BodyText">
    <w:name w:val="Body Text"/>
    <w:basedOn w:val="Normal"/>
    <w:next w:val="BodyNoIndent"/>
    <w:link w:val="BodyTextChar"/>
    <w:rsid w:val="00F805AC"/>
    <w:pPr>
      <w:spacing w:after="120"/>
    </w:pPr>
    <w:rPr>
      <w:rFonts w:ascii="Times New Roman" w:eastAsia="Times New Roman" w:hAnsi="Times New Roman" w:cs="Times New Roman"/>
      <w:color w:val="auto"/>
      <w:sz w:val="24"/>
      <w:szCs w:val="22"/>
    </w:rPr>
  </w:style>
  <w:style w:type="character" w:customStyle="1" w:styleId="BodyTextChar">
    <w:name w:val="Body Text Char"/>
    <w:basedOn w:val="DefaultParagraphFont"/>
    <w:link w:val="BodyText"/>
    <w:rsid w:val="00F805AC"/>
    <w:rPr>
      <w:rFonts w:ascii="Times New Roman" w:eastAsia="Times New Roman" w:hAnsi="Times New Roman" w:cs="Times New Roman"/>
      <w:szCs w:val="22"/>
    </w:rPr>
  </w:style>
  <w:style w:type="paragraph" w:styleId="BalloonText">
    <w:name w:val="Balloon Text"/>
    <w:basedOn w:val="Normal"/>
    <w:link w:val="BalloonTextChar"/>
    <w:uiPriority w:val="99"/>
    <w:semiHidden/>
    <w:unhideWhenUsed/>
    <w:rsid w:val="008E6C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6C57"/>
    <w:rPr>
      <w:rFonts w:ascii="Lucida Grande" w:hAnsi="Lucida Grande" w:cs="Lucida Grande"/>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755</Words>
  <Characters>4304</Characters>
  <Application>Microsoft Macintosh Word</Application>
  <DocSecurity>0</DocSecurity>
  <Lines>35</Lines>
  <Paragraphs>10</Paragraphs>
  <ScaleCrop>false</ScaleCrop>
  <Company>UNCW</Company>
  <LinksUpToDate>false</LinksUpToDate>
  <CharactersWithSpaces>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Brander</dc:creator>
  <cp:keywords/>
  <cp:lastModifiedBy>Will White</cp:lastModifiedBy>
  <cp:revision>5</cp:revision>
  <dcterms:created xsi:type="dcterms:W3CDTF">2013-01-04T03:00:00Z</dcterms:created>
  <dcterms:modified xsi:type="dcterms:W3CDTF">2013-08-12T02:00:00Z</dcterms:modified>
</cp:coreProperties>
</file>