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E9E6F" w14:textId="77777777" w:rsidR="005F629B" w:rsidRPr="00396C07" w:rsidRDefault="005F629B" w:rsidP="00BB6D70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32"/>
        </w:rPr>
      </w:pPr>
      <w:r w:rsidRPr="00396C07">
        <w:rPr>
          <w:rFonts w:ascii="Times New Roman" w:hAnsi="Times New Roman" w:cs="Times New Roman"/>
          <w:b/>
          <w:sz w:val="24"/>
          <w:szCs w:val="32"/>
        </w:rPr>
        <w:t>SI Results</w:t>
      </w:r>
    </w:p>
    <w:p w14:paraId="1DB0EB75" w14:textId="77777777" w:rsidR="005F629B" w:rsidRPr="00396C07" w:rsidRDefault="005F629B" w:rsidP="00BB6D7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5A6E5" w14:textId="484FA4C7" w:rsidR="005F629B" w:rsidRPr="00396C07" w:rsidRDefault="005F629B" w:rsidP="00BB6D7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07">
        <w:rPr>
          <w:rFonts w:ascii="Times New Roman" w:hAnsi="Times New Roman" w:cs="Times New Roman"/>
          <w:b/>
          <w:sz w:val="24"/>
          <w:szCs w:val="24"/>
        </w:rPr>
        <w:t xml:space="preserve">Sex dependent difference in daily and circadian patterns of feeding and locomotor activity in </w:t>
      </w:r>
      <w:r w:rsidRPr="00396C07">
        <w:rPr>
          <w:rFonts w:ascii="Times New Roman" w:hAnsi="Times New Roman" w:cs="Times New Roman"/>
          <w:b/>
          <w:i/>
          <w:sz w:val="24"/>
          <w:szCs w:val="24"/>
        </w:rPr>
        <w:t>Id2</w:t>
      </w:r>
      <w:r w:rsidR="002B1530" w:rsidRPr="00396C07">
        <w:rPr>
          <w:rFonts w:ascii="Times New Roman" w:hAnsi="Times New Roman" w:cs="Times New Roman"/>
          <w:b/>
          <w:sz w:val="24"/>
          <w:szCs w:val="24"/>
        </w:rPr>
        <w:t xml:space="preserve">-/- </w:t>
      </w:r>
      <w:r w:rsidRPr="00396C07">
        <w:rPr>
          <w:rFonts w:ascii="Times New Roman" w:hAnsi="Times New Roman" w:cs="Times New Roman"/>
          <w:b/>
          <w:sz w:val="24"/>
          <w:szCs w:val="24"/>
        </w:rPr>
        <w:t xml:space="preserve">mice. </w:t>
      </w:r>
      <w:r w:rsidRPr="00396C07">
        <w:rPr>
          <w:rFonts w:ascii="Times New Roman" w:hAnsi="Times New Roman" w:cs="Times New Roman"/>
          <w:sz w:val="24"/>
          <w:szCs w:val="24"/>
        </w:rPr>
        <w:t xml:space="preserve">Feeding and locomotor activity data were analyzed separately for both sexes to determine any sex-dependent differences. The </w:t>
      </w:r>
      <w:r w:rsidRPr="00396C07">
        <w:rPr>
          <w:rFonts w:ascii="Times New Roman" w:hAnsi="Times New Roman" w:cs="Times New Roman"/>
          <w:i/>
          <w:sz w:val="24"/>
          <w:szCs w:val="24"/>
        </w:rPr>
        <w:t>Id2</w:t>
      </w:r>
      <w:r w:rsidR="002B1530" w:rsidRPr="00396C07">
        <w:rPr>
          <w:rFonts w:ascii="Times New Roman" w:hAnsi="Times New Roman" w:cs="Times New Roman"/>
          <w:sz w:val="24"/>
          <w:szCs w:val="24"/>
        </w:rPr>
        <w:t>-/-</w:t>
      </w:r>
      <w:r w:rsidRPr="00396C07">
        <w:rPr>
          <w:rFonts w:ascii="Times New Roman" w:hAnsi="Times New Roman" w:cs="Times New Roman"/>
          <w:sz w:val="24"/>
          <w:szCs w:val="24"/>
        </w:rPr>
        <w:t xml:space="preserve"> males, when compared to WT males</w:t>
      </w:r>
      <w:r w:rsidR="0097410F" w:rsidRPr="00396C07">
        <w:rPr>
          <w:rFonts w:ascii="Times New Roman" w:hAnsi="Times New Roman" w:cs="Times New Roman"/>
          <w:sz w:val="24"/>
          <w:szCs w:val="24"/>
        </w:rPr>
        <w:t>,</w:t>
      </w:r>
      <w:r w:rsidRPr="00396C07">
        <w:rPr>
          <w:rFonts w:ascii="Times New Roman" w:hAnsi="Times New Roman" w:cs="Times New Roman"/>
          <w:sz w:val="24"/>
          <w:szCs w:val="24"/>
        </w:rPr>
        <w:t xml:space="preserve"> did not show any significant difference in the daily feeding pattern (Fig. S</w:t>
      </w:r>
      <w:r w:rsidR="001C5BDD" w:rsidRPr="00396C07">
        <w:rPr>
          <w:rFonts w:ascii="Times New Roman" w:hAnsi="Times New Roman" w:cs="Times New Roman"/>
          <w:sz w:val="24"/>
          <w:szCs w:val="24"/>
        </w:rPr>
        <w:t>1</w:t>
      </w:r>
      <w:r w:rsidRPr="00396C07">
        <w:rPr>
          <w:rFonts w:ascii="Times New Roman" w:hAnsi="Times New Roman" w:cs="Times New Roman"/>
          <w:sz w:val="24"/>
          <w:szCs w:val="24"/>
        </w:rPr>
        <w:t xml:space="preserve">A). The </w:t>
      </w:r>
      <w:bookmarkStart w:id="0" w:name="_GoBack"/>
      <w:bookmarkEnd w:id="0"/>
      <w:r w:rsidRPr="00396C07">
        <w:rPr>
          <w:rFonts w:ascii="Times New Roman" w:hAnsi="Times New Roman" w:cs="Times New Roman"/>
          <w:sz w:val="24"/>
          <w:szCs w:val="24"/>
        </w:rPr>
        <w:t xml:space="preserve">circadian feeding patterns were also not observed to be significantly different, although </w:t>
      </w:r>
      <w:r w:rsidR="002B1530" w:rsidRPr="00396C07">
        <w:rPr>
          <w:rFonts w:ascii="Times New Roman" w:hAnsi="Times New Roman" w:cs="Times New Roman"/>
          <w:i/>
          <w:sz w:val="24"/>
          <w:szCs w:val="24"/>
        </w:rPr>
        <w:t>Id2</w:t>
      </w:r>
      <w:r w:rsidR="002B1530" w:rsidRPr="00396C07">
        <w:rPr>
          <w:rFonts w:ascii="Times New Roman" w:hAnsi="Times New Roman" w:cs="Times New Roman"/>
          <w:sz w:val="24"/>
          <w:szCs w:val="24"/>
        </w:rPr>
        <w:t xml:space="preserve">-/- </w:t>
      </w:r>
      <w:r w:rsidRPr="00396C07">
        <w:rPr>
          <w:rFonts w:ascii="Times New Roman" w:hAnsi="Times New Roman" w:cs="Times New Roman"/>
          <w:sz w:val="24"/>
          <w:szCs w:val="24"/>
        </w:rPr>
        <w:t xml:space="preserve">male mice </w:t>
      </w:r>
      <w:r w:rsidR="00EA3654" w:rsidRPr="00396C07">
        <w:rPr>
          <w:rFonts w:ascii="Times New Roman" w:hAnsi="Times New Roman" w:cs="Times New Roman"/>
          <w:sz w:val="24"/>
          <w:szCs w:val="24"/>
        </w:rPr>
        <w:t xml:space="preserve">feeding profile </w:t>
      </w:r>
      <w:r w:rsidRPr="00396C07">
        <w:rPr>
          <w:rFonts w:ascii="Times New Roman" w:hAnsi="Times New Roman" w:cs="Times New Roman"/>
          <w:sz w:val="24"/>
          <w:szCs w:val="24"/>
        </w:rPr>
        <w:t>tend</w:t>
      </w:r>
      <w:r w:rsidR="0097410F" w:rsidRPr="00396C07">
        <w:rPr>
          <w:rFonts w:ascii="Times New Roman" w:hAnsi="Times New Roman" w:cs="Times New Roman"/>
          <w:sz w:val="24"/>
          <w:szCs w:val="24"/>
        </w:rPr>
        <w:t>ed</w:t>
      </w:r>
      <w:r w:rsidRPr="00396C07">
        <w:rPr>
          <w:rFonts w:ascii="Times New Roman" w:hAnsi="Times New Roman" w:cs="Times New Roman"/>
          <w:sz w:val="24"/>
          <w:szCs w:val="24"/>
        </w:rPr>
        <w:t xml:space="preserve"> to </w:t>
      </w:r>
      <w:r w:rsidR="00EA3654" w:rsidRPr="00396C07">
        <w:rPr>
          <w:rFonts w:ascii="Times New Roman" w:hAnsi="Times New Roman" w:cs="Times New Roman"/>
          <w:sz w:val="24"/>
          <w:szCs w:val="24"/>
        </w:rPr>
        <w:t xml:space="preserve">extend further into </w:t>
      </w:r>
      <w:r w:rsidRPr="00396C07">
        <w:rPr>
          <w:rFonts w:ascii="Times New Roman" w:hAnsi="Times New Roman" w:cs="Times New Roman"/>
          <w:sz w:val="24"/>
          <w:szCs w:val="24"/>
        </w:rPr>
        <w:t>the late dark phase (Fig. S</w:t>
      </w:r>
      <w:r w:rsidR="001C5BDD" w:rsidRPr="00396C07">
        <w:rPr>
          <w:rFonts w:ascii="Times New Roman" w:hAnsi="Times New Roman" w:cs="Times New Roman"/>
          <w:sz w:val="24"/>
          <w:szCs w:val="24"/>
        </w:rPr>
        <w:t>1</w:t>
      </w:r>
      <w:r w:rsidRPr="00396C07">
        <w:rPr>
          <w:rFonts w:ascii="Times New Roman" w:hAnsi="Times New Roman" w:cs="Times New Roman"/>
          <w:sz w:val="24"/>
          <w:szCs w:val="24"/>
        </w:rPr>
        <w:t>B). Similarly</w:t>
      </w:r>
      <w:r w:rsidR="0097410F" w:rsidRPr="00396C07">
        <w:rPr>
          <w:rFonts w:ascii="Times New Roman" w:hAnsi="Times New Roman" w:cs="Times New Roman"/>
          <w:sz w:val="24"/>
          <w:szCs w:val="24"/>
        </w:rPr>
        <w:t>, when PIR motion detectors were used under LD conditions,</w:t>
      </w:r>
      <w:r w:rsidRPr="00396C07">
        <w:rPr>
          <w:rFonts w:ascii="Times New Roman" w:hAnsi="Times New Roman" w:cs="Times New Roman"/>
          <w:sz w:val="24"/>
          <w:szCs w:val="24"/>
        </w:rPr>
        <w:t xml:space="preserve"> the </w:t>
      </w:r>
      <w:r w:rsidR="00AF2797" w:rsidRPr="00396C07">
        <w:rPr>
          <w:rFonts w:ascii="Times New Roman" w:hAnsi="Times New Roman" w:cs="Times New Roman"/>
          <w:sz w:val="24"/>
          <w:szCs w:val="24"/>
        </w:rPr>
        <w:t xml:space="preserve">general </w:t>
      </w:r>
      <w:r w:rsidRPr="00396C07">
        <w:rPr>
          <w:rFonts w:ascii="Times New Roman" w:hAnsi="Times New Roman" w:cs="Times New Roman"/>
          <w:sz w:val="24"/>
          <w:szCs w:val="24"/>
        </w:rPr>
        <w:t xml:space="preserve">activity patterns of male </w:t>
      </w:r>
      <w:r w:rsidR="002B1530" w:rsidRPr="00396C07">
        <w:rPr>
          <w:rFonts w:ascii="Times New Roman" w:hAnsi="Times New Roman" w:cs="Times New Roman"/>
          <w:i/>
          <w:sz w:val="24"/>
          <w:szCs w:val="24"/>
        </w:rPr>
        <w:t>Id2</w:t>
      </w:r>
      <w:r w:rsidR="002B1530" w:rsidRPr="00396C07">
        <w:rPr>
          <w:rFonts w:ascii="Times New Roman" w:hAnsi="Times New Roman" w:cs="Times New Roman"/>
          <w:sz w:val="24"/>
          <w:szCs w:val="24"/>
        </w:rPr>
        <w:t xml:space="preserve">-/- </w:t>
      </w:r>
      <w:r w:rsidR="0097410F" w:rsidRPr="00396C07">
        <w:rPr>
          <w:rFonts w:ascii="Times New Roman" w:hAnsi="Times New Roman" w:cs="Times New Roman"/>
          <w:sz w:val="24"/>
          <w:szCs w:val="24"/>
        </w:rPr>
        <w:t>mice</w:t>
      </w:r>
      <w:r w:rsidRPr="00396C07">
        <w:rPr>
          <w:rFonts w:ascii="Times New Roman" w:hAnsi="Times New Roman" w:cs="Times New Roman"/>
          <w:sz w:val="24"/>
          <w:szCs w:val="24"/>
        </w:rPr>
        <w:t xml:space="preserve"> showed an overall difference when compared to WTs</w:t>
      </w:r>
      <w:r w:rsidR="0097410F" w:rsidRPr="00396C07">
        <w:rPr>
          <w:rFonts w:ascii="Times New Roman" w:hAnsi="Times New Roman" w:cs="Times New Roman"/>
          <w:sz w:val="24"/>
          <w:szCs w:val="24"/>
        </w:rPr>
        <w:t xml:space="preserve">. This included </w:t>
      </w:r>
      <w:r w:rsidRPr="00396C07">
        <w:rPr>
          <w:rFonts w:ascii="Times New Roman" w:hAnsi="Times New Roman" w:cs="Times New Roman"/>
          <w:sz w:val="24"/>
          <w:szCs w:val="24"/>
        </w:rPr>
        <w:t>a delayed onset o</w:t>
      </w:r>
      <w:r w:rsidR="00BA7984" w:rsidRPr="00396C07">
        <w:rPr>
          <w:rFonts w:ascii="Times New Roman" w:hAnsi="Times New Roman" w:cs="Times New Roman"/>
          <w:sz w:val="24"/>
          <w:szCs w:val="24"/>
        </w:rPr>
        <w:t xml:space="preserve">f </w:t>
      </w:r>
      <w:r w:rsidR="00EA3654" w:rsidRPr="00396C07">
        <w:rPr>
          <w:rFonts w:ascii="Times New Roman" w:hAnsi="Times New Roman" w:cs="Times New Roman"/>
          <w:sz w:val="24"/>
          <w:szCs w:val="24"/>
        </w:rPr>
        <w:t>activity</w:t>
      </w:r>
      <w:r w:rsidR="00B53FA8" w:rsidRPr="00396C07">
        <w:rPr>
          <w:rFonts w:ascii="Times New Roman" w:hAnsi="Times New Roman" w:cs="Times New Roman"/>
          <w:sz w:val="24"/>
          <w:szCs w:val="24"/>
        </w:rPr>
        <w:t xml:space="preserve"> and/or </w:t>
      </w:r>
      <w:r w:rsidR="005F46E1" w:rsidRPr="00396C07">
        <w:rPr>
          <w:rFonts w:ascii="Times New Roman" w:hAnsi="Times New Roman" w:cs="Times New Roman"/>
          <w:sz w:val="24"/>
          <w:szCs w:val="24"/>
        </w:rPr>
        <w:t>reduction</w:t>
      </w:r>
      <w:r w:rsidR="00B53FA8" w:rsidRPr="00396C07">
        <w:rPr>
          <w:rFonts w:ascii="Times New Roman" w:hAnsi="Times New Roman" w:cs="Times New Roman"/>
          <w:sz w:val="24"/>
          <w:szCs w:val="24"/>
        </w:rPr>
        <w:t xml:space="preserve"> of late daytime activity</w:t>
      </w:r>
      <w:r w:rsidR="00FD39BF" w:rsidRPr="00396C07">
        <w:rPr>
          <w:rFonts w:ascii="Times New Roman" w:hAnsi="Times New Roman" w:cs="Times New Roman"/>
          <w:sz w:val="24"/>
          <w:szCs w:val="24"/>
        </w:rPr>
        <w:t>, but no significant extension of</w:t>
      </w:r>
      <w:r w:rsidRPr="00396C07">
        <w:rPr>
          <w:rFonts w:ascii="Times New Roman" w:hAnsi="Times New Roman" w:cs="Times New Roman"/>
          <w:sz w:val="24"/>
          <w:szCs w:val="24"/>
        </w:rPr>
        <w:t xml:space="preserve"> </w:t>
      </w:r>
      <w:r w:rsidR="00FD39BF" w:rsidRPr="00396C07">
        <w:rPr>
          <w:rFonts w:ascii="Times New Roman" w:hAnsi="Times New Roman" w:cs="Times New Roman"/>
          <w:sz w:val="24"/>
          <w:szCs w:val="24"/>
        </w:rPr>
        <w:t>activity patterns was</w:t>
      </w:r>
      <w:r w:rsidRPr="00396C07">
        <w:rPr>
          <w:rFonts w:ascii="Times New Roman" w:hAnsi="Times New Roman" w:cs="Times New Roman"/>
          <w:sz w:val="24"/>
          <w:szCs w:val="24"/>
        </w:rPr>
        <w:t xml:space="preserve"> observed (Fig. S</w:t>
      </w:r>
      <w:r w:rsidR="001C5BDD" w:rsidRPr="00396C07">
        <w:rPr>
          <w:rFonts w:ascii="Times New Roman" w:hAnsi="Times New Roman" w:cs="Times New Roman"/>
          <w:sz w:val="24"/>
          <w:szCs w:val="24"/>
        </w:rPr>
        <w:t>1</w:t>
      </w:r>
      <w:r w:rsidRPr="00396C07">
        <w:rPr>
          <w:rFonts w:ascii="Times New Roman" w:hAnsi="Times New Roman" w:cs="Times New Roman"/>
          <w:sz w:val="24"/>
          <w:szCs w:val="24"/>
        </w:rPr>
        <w:t>C). In contrast the circadian profile of PIR</w:t>
      </w:r>
      <w:r w:rsidR="00AF2797" w:rsidRPr="00396C07">
        <w:rPr>
          <w:rFonts w:ascii="Times New Roman" w:hAnsi="Times New Roman" w:cs="Times New Roman"/>
          <w:sz w:val="24"/>
          <w:szCs w:val="24"/>
        </w:rPr>
        <w:t xml:space="preserve"> general</w:t>
      </w:r>
      <w:r w:rsidRPr="00396C07">
        <w:rPr>
          <w:rFonts w:ascii="Times New Roman" w:hAnsi="Times New Roman" w:cs="Times New Roman"/>
          <w:sz w:val="24"/>
          <w:szCs w:val="24"/>
        </w:rPr>
        <w:t xml:space="preserve"> activity of </w:t>
      </w:r>
      <w:r w:rsidR="002B1530" w:rsidRPr="00396C07">
        <w:rPr>
          <w:rFonts w:ascii="Times New Roman" w:hAnsi="Times New Roman" w:cs="Times New Roman"/>
          <w:i/>
          <w:sz w:val="24"/>
          <w:szCs w:val="24"/>
        </w:rPr>
        <w:t>Id2</w:t>
      </w:r>
      <w:r w:rsidR="002B1530" w:rsidRPr="00396C07">
        <w:rPr>
          <w:rFonts w:ascii="Times New Roman" w:hAnsi="Times New Roman" w:cs="Times New Roman"/>
          <w:sz w:val="24"/>
          <w:szCs w:val="24"/>
        </w:rPr>
        <w:t xml:space="preserve">-/- </w:t>
      </w:r>
      <w:r w:rsidRPr="00396C07">
        <w:rPr>
          <w:rFonts w:ascii="Times New Roman" w:hAnsi="Times New Roman" w:cs="Times New Roman"/>
          <w:sz w:val="24"/>
          <w:szCs w:val="24"/>
        </w:rPr>
        <w:t>mice showed profoundly extended pattern towards the late dark phase and the early light phase, when compared to WT males (Fig. S</w:t>
      </w:r>
      <w:r w:rsidR="001C5BDD" w:rsidRPr="00396C07">
        <w:rPr>
          <w:rFonts w:ascii="Times New Roman" w:hAnsi="Times New Roman" w:cs="Times New Roman"/>
          <w:sz w:val="24"/>
          <w:szCs w:val="24"/>
        </w:rPr>
        <w:t>1</w:t>
      </w:r>
      <w:r w:rsidRPr="00396C07">
        <w:rPr>
          <w:rFonts w:ascii="Times New Roman" w:hAnsi="Times New Roman" w:cs="Times New Roman"/>
          <w:sz w:val="24"/>
          <w:szCs w:val="24"/>
        </w:rPr>
        <w:t xml:space="preserve">D). We could not generate sufficient data for </w:t>
      </w:r>
      <w:r w:rsidR="002B1530" w:rsidRPr="00396C07">
        <w:rPr>
          <w:rFonts w:ascii="Times New Roman" w:hAnsi="Times New Roman" w:cs="Times New Roman"/>
          <w:i/>
          <w:sz w:val="24"/>
          <w:szCs w:val="24"/>
        </w:rPr>
        <w:t>Id2</w:t>
      </w:r>
      <w:r w:rsidR="002B1530" w:rsidRPr="00396C07">
        <w:rPr>
          <w:rFonts w:ascii="Times New Roman" w:hAnsi="Times New Roman" w:cs="Times New Roman"/>
          <w:sz w:val="24"/>
          <w:szCs w:val="24"/>
        </w:rPr>
        <w:t xml:space="preserve">-/- </w:t>
      </w:r>
      <w:r w:rsidRPr="00396C07">
        <w:rPr>
          <w:rFonts w:ascii="Times New Roman" w:hAnsi="Times New Roman" w:cs="Times New Roman"/>
          <w:sz w:val="24"/>
          <w:szCs w:val="24"/>
        </w:rPr>
        <w:t xml:space="preserve">male circadian wheel running activity either because they tended not to run the wheel or they did not show any distinct ~24 hr rhythmic pattern. The data for the daily pattern of wheel running activity show an overall difference between WT males and </w:t>
      </w:r>
      <w:r w:rsidR="002B1530" w:rsidRPr="00396C07">
        <w:rPr>
          <w:rFonts w:ascii="Times New Roman" w:hAnsi="Times New Roman" w:cs="Times New Roman"/>
          <w:i/>
          <w:sz w:val="24"/>
          <w:szCs w:val="24"/>
        </w:rPr>
        <w:t>Id2</w:t>
      </w:r>
      <w:r w:rsidR="002B1530" w:rsidRPr="00396C07">
        <w:rPr>
          <w:rFonts w:ascii="Times New Roman" w:hAnsi="Times New Roman" w:cs="Times New Roman"/>
          <w:sz w:val="24"/>
          <w:szCs w:val="24"/>
        </w:rPr>
        <w:t xml:space="preserve">-/- </w:t>
      </w:r>
      <w:r w:rsidR="00B53FA8" w:rsidRPr="00396C07">
        <w:rPr>
          <w:rFonts w:ascii="Times New Roman" w:hAnsi="Times New Roman" w:cs="Times New Roman"/>
          <w:sz w:val="24"/>
          <w:szCs w:val="24"/>
        </w:rPr>
        <w:t>males:</w:t>
      </w:r>
      <w:r w:rsidRPr="00396C07">
        <w:rPr>
          <w:rFonts w:ascii="Times New Roman" w:hAnsi="Times New Roman" w:cs="Times New Roman"/>
          <w:sz w:val="24"/>
          <w:szCs w:val="24"/>
        </w:rPr>
        <w:t xml:space="preserve"> even though the extended activity pattern was not observed to be significantly different from that of WTs</w:t>
      </w:r>
      <w:r w:rsidR="00B53FA8" w:rsidRPr="00396C07">
        <w:rPr>
          <w:rFonts w:ascii="Times New Roman" w:hAnsi="Times New Roman" w:cs="Times New Roman"/>
          <w:sz w:val="24"/>
          <w:szCs w:val="24"/>
        </w:rPr>
        <w:t xml:space="preserve">, the balance between early versus late night activity was profoundly different </w:t>
      </w:r>
      <w:r w:rsidRPr="00396C07">
        <w:rPr>
          <w:rFonts w:ascii="Times New Roman" w:hAnsi="Times New Roman" w:cs="Times New Roman"/>
          <w:sz w:val="24"/>
          <w:szCs w:val="24"/>
        </w:rPr>
        <w:t>(Fig. S</w:t>
      </w:r>
      <w:r w:rsidR="001C5BDD" w:rsidRPr="00396C07">
        <w:rPr>
          <w:rFonts w:ascii="Times New Roman" w:hAnsi="Times New Roman" w:cs="Times New Roman"/>
          <w:sz w:val="24"/>
          <w:szCs w:val="24"/>
        </w:rPr>
        <w:t>1</w:t>
      </w:r>
      <w:r w:rsidRPr="00396C07">
        <w:rPr>
          <w:rFonts w:ascii="Times New Roman" w:hAnsi="Times New Roman" w:cs="Times New Roman"/>
          <w:sz w:val="24"/>
          <w:szCs w:val="24"/>
        </w:rPr>
        <w:t>E).</w:t>
      </w:r>
    </w:p>
    <w:p w14:paraId="36206C4B" w14:textId="388B3AB0" w:rsidR="005F629B" w:rsidRPr="00396C07" w:rsidRDefault="005F629B" w:rsidP="00BB6D7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C07">
        <w:rPr>
          <w:rFonts w:ascii="Times New Roman" w:hAnsi="Times New Roman" w:cs="Times New Roman"/>
          <w:sz w:val="24"/>
          <w:szCs w:val="24"/>
        </w:rPr>
        <w:t xml:space="preserve">In contrast to </w:t>
      </w:r>
      <w:r w:rsidR="002B1530" w:rsidRPr="00396C07">
        <w:rPr>
          <w:rFonts w:ascii="Times New Roman" w:hAnsi="Times New Roman" w:cs="Times New Roman"/>
          <w:i/>
          <w:sz w:val="24"/>
          <w:szCs w:val="24"/>
        </w:rPr>
        <w:t>Id2</w:t>
      </w:r>
      <w:r w:rsidR="002B1530" w:rsidRPr="00396C07">
        <w:rPr>
          <w:rFonts w:ascii="Times New Roman" w:hAnsi="Times New Roman" w:cs="Times New Roman"/>
          <w:sz w:val="24"/>
          <w:szCs w:val="24"/>
        </w:rPr>
        <w:t xml:space="preserve">-/- </w:t>
      </w:r>
      <w:r w:rsidRPr="00396C07">
        <w:rPr>
          <w:rFonts w:ascii="Times New Roman" w:hAnsi="Times New Roman" w:cs="Times New Roman"/>
          <w:sz w:val="24"/>
          <w:szCs w:val="24"/>
        </w:rPr>
        <w:t xml:space="preserve">males, </w:t>
      </w:r>
      <w:r w:rsidR="002B1530" w:rsidRPr="00396C07">
        <w:rPr>
          <w:rFonts w:ascii="Times New Roman" w:hAnsi="Times New Roman" w:cs="Times New Roman"/>
          <w:i/>
          <w:sz w:val="24"/>
          <w:szCs w:val="24"/>
        </w:rPr>
        <w:t>Id2</w:t>
      </w:r>
      <w:r w:rsidR="002B1530" w:rsidRPr="00396C07">
        <w:rPr>
          <w:rFonts w:ascii="Times New Roman" w:hAnsi="Times New Roman" w:cs="Times New Roman"/>
          <w:sz w:val="24"/>
          <w:szCs w:val="24"/>
        </w:rPr>
        <w:t xml:space="preserve">-/- </w:t>
      </w:r>
      <w:r w:rsidRPr="00396C07">
        <w:rPr>
          <w:rFonts w:ascii="Times New Roman" w:hAnsi="Times New Roman" w:cs="Times New Roman"/>
          <w:sz w:val="24"/>
          <w:szCs w:val="24"/>
        </w:rPr>
        <w:t xml:space="preserve">females exhibited </w:t>
      </w:r>
      <w:r w:rsidR="00214845" w:rsidRPr="00396C07">
        <w:rPr>
          <w:rFonts w:ascii="Times New Roman" w:hAnsi="Times New Roman" w:cs="Times New Roman"/>
          <w:sz w:val="24"/>
          <w:szCs w:val="24"/>
        </w:rPr>
        <w:t xml:space="preserve">significant </w:t>
      </w:r>
      <w:r w:rsidRPr="00396C07">
        <w:rPr>
          <w:rFonts w:ascii="Times New Roman" w:hAnsi="Times New Roman" w:cs="Times New Roman"/>
          <w:sz w:val="24"/>
          <w:szCs w:val="24"/>
        </w:rPr>
        <w:t>extended feeding activity towards the late dark period under LD conditions (Fig. S</w:t>
      </w:r>
      <w:r w:rsidR="002B1530" w:rsidRPr="00396C07">
        <w:rPr>
          <w:rFonts w:ascii="Times New Roman" w:hAnsi="Times New Roman" w:cs="Times New Roman"/>
          <w:sz w:val="24"/>
          <w:szCs w:val="24"/>
        </w:rPr>
        <w:t>1F</w:t>
      </w:r>
      <w:r w:rsidRPr="00396C07">
        <w:rPr>
          <w:rFonts w:ascii="Times New Roman" w:hAnsi="Times New Roman" w:cs="Times New Roman"/>
          <w:sz w:val="24"/>
          <w:szCs w:val="24"/>
        </w:rPr>
        <w:t xml:space="preserve">). However, their circadian feeding activity patterns were not significantly different from WT females, even though they </w:t>
      </w:r>
      <w:r w:rsidRPr="00396C07">
        <w:rPr>
          <w:rFonts w:ascii="Times New Roman" w:hAnsi="Times New Roman" w:cs="Times New Roman"/>
          <w:sz w:val="24"/>
          <w:szCs w:val="24"/>
        </w:rPr>
        <w:lastRenderedPageBreak/>
        <w:t>tended to feed in the late dark phase (Fig. S</w:t>
      </w:r>
      <w:r w:rsidR="002B1530" w:rsidRPr="00396C07">
        <w:rPr>
          <w:rFonts w:ascii="Times New Roman" w:hAnsi="Times New Roman" w:cs="Times New Roman"/>
          <w:sz w:val="24"/>
          <w:szCs w:val="24"/>
        </w:rPr>
        <w:t>1G</w:t>
      </w:r>
      <w:r w:rsidRPr="00396C07">
        <w:rPr>
          <w:rFonts w:ascii="Times New Roman" w:hAnsi="Times New Roman" w:cs="Times New Roman"/>
          <w:sz w:val="24"/>
          <w:szCs w:val="24"/>
        </w:rPr>
        <w:t xml:space="preserve">). The daily and circadian </w:t>
      </w:r>
      <w:r w:rsidR="00AF2797" w:rsidRPr="00396C07">
        <w:rPr>
          <w:rFonts w:ascii="Times New Roman" w:hAnsi="Times New Roman" w:cs="Times New Roman"/>
          <w:sz w:val="24"/>
          <w:szCs w:val="24"/>
        </w:rPr>
        <w:t xml:space="preserve">general </w:t>
      </w:r>
      <w:r w:rsidRPr="00396C07">
        <w:rPr>
          <w:rFonts w:ascii="Times New Roman" w:hAnsi="Times New Roman" w:cs="Times New Roman"/>
          <w:sz w:val="24"/>
          <w:szCs w:val="24"/>
        </w:rPr>
        <w:t xml:space="preserve">activity patterns of </w:t>
      </w:r>
      <w:r w:rsidR="002B1530" w:rsidRPr="00396C07">
        <w:rPr>
          <w:rFonts w:ascii="Times New Roman" w:hAnsi="Times New Roman" w:cs="Times New Roman"/>
          <w:i/>
          <w:sz w:val="24"/>
          <w:szCs w:val="24"/>
        </w:rPr>
        <w:t>Id2</w:t>
      </w:r>
      <w:r w:rsidR="002B1530" w:rsidRPr="00396C07">
        <w:rPr>
          <w:rFonts w:ascii="Times New Roman" w:hAnsi="Times New Roman" w:cs="Times New Roman"/>
          <w:sz w:val="24"/>
          <w:szCs w:val="24"/>
        </w:rPr>
        <w:t xml:space="preserve">-/- </w:t>
      </w:r>
      <w:r w:rsidRPr="00396C07">
        <w:rPr>
          <w:rFonts w:ascii="Times New Roman" w:hAnsi="Times New Roman" w:cs="Times New Roman"/>
          <w:sz w:val="24"/>
          <w:szCs w:val="24"/>
        </w:rPr>
        <w:t xml:space="preserve">females </w:t>
      </w:r>
      <w:r w:rsidR="00FD39BF" w:rsidRPr="00396C07">
        <w:rPr>
          <w:rFonts w:ascii="Times New Roman" w:hAnsi="Times New Roman" w:cs="Times New Roman"/>
          <w:sz w:val="24"/>
          <w:szCs w:val="24"/>
        </w:rPr>
        <w:t>measured</w:t>
      </w:r>
      <w:r w:rsidRPr="00396C07">
        <w:rPr>
          <w:rFonts w:ascii="Times New Roman" w:hAnsi="Times New Roman" w:cs="Times New Roman"/>
          <w:sz w:val="24"/>
          <w:szCs w:val="24"/>
        </w:rPr>
        <w:t xml:space="preserve"> by PIR detectors were observed to be extended into the late dark phase when compared to WT females (Fig. S</w:t>
      </w:r>
      <w:r w:rsidR="004C4384" w:rsidRPr="00396C07">
        <w:rPr>
          <w:rFonts w:ascii="Times New Roman" w:hAnsi="Times New Roman" w:cs="Times New Roman"/>
          <w:sz w:val="24"/>
          <w:szCs w:val="24"/>
        </w:rPr>
        <w:t>1</w:t>
      </w:r>
      <w:r w:rsidR="002B1530" w:rsidRPr="00396C07">
        <w:rPr>
          <w:rFonts w:ascii="Times New Roman" w:hAnsi="Times New Roman" w:cs="Times New Roman"/>
          <w:sz w:val="24"/>
          <w:szCs w:val="24"/>
        </w:rPr>
        <w:t>H</w:t>
      </w:r>
      <w:r w:rsidR="004C4384" w:rsidRPr="00396C07">
        <w:rPr>
          <w:rFonts w:ascii="Times New Roman" w:hAnsi="Times New Roman" w:cs="Times New Roman"/>
          <w:sz w:val="24"/>
          <w:szCs w:val="24"/>
        </w:rPr>
        <w:t xml:space="preserve">, </w:t>
      </w:r>
      <w:r w:rsidR="002B1530" w:rsidRPr="00396C07">
        <w:rPr>
          <w:rFonts w:ascii="Times New Roman" w:hAnsi="Times New Roman" w:cs="Times New Roman"/>
          <w:sz w:val="24"/>
          <w:szCs w:val="24"/>
        </w:rPr>
        <w:t>I</w:t>
      </w:r>
      <w:r w:rsidRPr="00396C07">
        <w:rPr>
          <w:rFonts w:ascii="Times New Roman" w:hAnsi="Times New Roman" w:cs="Times New Roman"/>
          <w:sz w:val="24"/>
          <w:szCs w:val="24"/>
        </w:rPr>
        <w:t xml:space="preserve">). Consistent with the feeding and PIR activity patterns, the wheel running activity of </w:t>
      </w:r>
      <w:r w:rsidR="002B1530" w:rsidRPr="00396C07">
        <w:rPr>
          <w:rFonts w:ascii="Times New Roman" w:hAnsi="Times New Roman" w:cs="Times New Roman"/>
          <w:i/>
          <w:sz w:val="24"/>
          <w:szCs w:val="24"/>
        </w:rPr>
        <w:t>Id2</w:t>
      </w:r>
      <w:r w:rsidR="002B1530" w:rsidRPr="00396C07">
        <w:rPr>
          <w:rFonts w:ascii="Times New Roman" w:hAnsi="Times New Roman" w:cs="Times New Roman"/>
          <w:sz w:val="24"/>
          <w:szCs w:val="24"/>
        </w:rPr>
        <w:t xml:space="preserve">-/- </w:t>
      </w:r>
      <w:r w:rsidRPr="00396C07">
        <w:rPr>
          <w:rFonts w:ascii="Times New Roman" w:hAnsi="Times New Roman" w:cs="Times New Roman"/>
          <w:sz w:val="24"/>
          <w:szCs w:val="24"/>
        </w:rPr>
        <w:t>females were significantly extended towards the late dark phase (Fig. S</w:t>
      </w:r>
      <w:r w:rsidR="004C4384" w:rsidRPr="00396C07">
        <w:rPr>
          <w:rFonts w:ascii="Times New Roman" w:hAnsi="Times New Roman" w:cs="Times New Roman"/>
          <w:sz w:val="24"/>
          <w:szCs w:val="24"/>
        </w:rPr>
        <w:t>1</w:t>
      </w:r>
      <w:r w:rsidR="002B1530" w:rsidRPr="00396C07">
        <w:rPr>
          <w:rFonts w:ascii="Times New Roman" w:hAnsi="Times New Roman" w:cs="Times New Roman"/>
          <w:sz w:val="24"/>
          <w:szCs w:val="24"/>
        </w:rPr>
        <w:t>J</w:t>
      </w:r>
      <w:r w:rsidRPr="00396C07">
        <w:rPr>
          <w:rFonts w:ascii="Times New Roman" w:hAnsi="Times New Roman" w:cs="Times New Roman"/>
          <w:sz w:val="24"/>
          <w:szCs w:val="24"/>
        </w:rPr>
        <w:t xml:space="preserve">). </w:t>
      </w:r>
      <w:r w:rsidR="0024510A" w:rsidRPr="00396C07">
        <w:rPr>
          <w:rFonts w:ascii="Times New Roman" w:hAnsi="Times New Roman" w:cs="Times New Roman"/>
          <w:sz w:val="24"/>
          <w:szCs w:val="24"/>
        </w:rPr>
        <w:t xml:space="preserve">Furthermore, the balance between early versus late night activity was significantly different. </w:t>
      </w:r>
      <w:r w:rsidRPr="00396C07">
        <w:rPr>
          <w:rFonts w:ascii="Times New Roman" w:hAnsi="Times New Roman" w:cs="Times New Roman"/>
          <w:sz w:val="24"/>
          <w:szCs w:val="24"/>
        </w:rPr>
        <w:t>Their circadian wheel running activity also</w:t>
      </w:r>
      <w:r w:rsidR="0024510A" w:rsidRPr="00396C07">
        <w:rPr>
          <w:rFonts w:ascii="Times New Roman" w:hAnsi="Times New Roman" w:cs="Times New Roman"/>
          <w:sz w:val="24"/>
          <w:szCs w:val="24"/>
        </w:rPr>
        <w:t xml:space="preserve"> showed this significant reduction in activity during the early night, as well</w:t>
      </w:r>
      <w:r w:rsidRPr="00396C07">
        <w:rPr>
          <w:rFonts w:ascii="Times New Roman" w:hAnsi="Times New Roman" w:cs="Times New Roman"/>
          <w:sz w:val="24"/>
          <w:szCs w:val="24"/>
        </w:rPr>
        <w:t xml:space="preserve"> </w:t>
      </w:r>
      <w:r w:rsidR="0024510A" w:rsidRPr="00396C07">
        <w:rPr>
          <w:rFonts w:ascii="Times New Roman" w:hAnsi="Times New Roman" w:cs="Times New Roman"/>
          <w:sz w:val="24"/>
          <w:szCs w:val="24"/>
        </w:rPr>
        <w:t xml:space="preserve">as </w:t>
      </w:r>
      <w:r w:rsidRPr="00396C07">
        <w:rPr>
          <w:rFonts w:ascii="Times New Roman" w:hAnsi="Times New Roman" w:cs="Times New Roman"/>
          <w:sz w:val="24"/>
          <w:szCs w:val="24"/>
        </w:rPr>
        <w:t>tended to extend towards the dark phase, although this was not observed to be significant in the multiple comparisons (Fig. S</w:t>
      </w:r>
      <w:r w:rsidR="004C4384" w:rsidRPr="00396C07">
        <w:rPr>
          <w:rFonts w:ascii="Times New Roman" w:hAnsi="Times New Roman" w:cs="Times New Roman"/>
          <w:sz w:val="24"/>
          <w:szCs w:val="24"/>
        </w:rPr>
        <w:t>1</w:t>
      </w:r>
      <w:r w:rsidR="002B1530" w:rsidRPr="00396C07">
        <w:rPr>
          <w:rFonts w:ascii="Times New Roman" w:hAnsi="Times New Roman" w:cs="Times New Roman"/>
          <w:sz w:val="24"/>
          <w:szCs w:val="24"/>
        </w:rPr>
        <w:t>K</w:t>
      </w:r>
      <w:r w:rsidRPr="00396C07">
        <w:rPr>
          <w:rFonts w:ascii="Times New Roman" w:hAnsi="Times New Roman" w:cs="Times New Roman"/>
          <w:sz w:val="24"/>
          <w:szCs w:val="24"/>
        </w:rPr>
        <w:t>).</w:t>
      </w:r>
    </w:p>
    <w:p w14:paraId="14E74F91" w14:textId="502255E8" w:rsidR="005F629B" w:rsidRPr="00396C07" w:rsidRDefault="005F629B" w:rsidP="00BB6D7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C07">
        <w:rPr>
          <w:rFonts w:ascii="Times New Roman" w:hAnsi="Times New Roman" w:cs="Times New Roman"/>
          <w:sz w:val="24"/>
          <w:szCs w:val="24"/>
        </w:rPr>
        <w:t xml:space="preserve">Under LD conditions the female </w:t>
      </w:r>
      <w:r w:rsidR="002B1530" w:rsidRPr="00396C07">
        <w:rPr>
          <w:rFonts w:ascii="Times New Roman" w:hAnsi="Times New Roman" w:cs="Times New Roman"/>
          <w:i/>
          <w:sz w:val="24"/>
          <w:szCs w:val="24"/>
        </w:rPr>
        <w:t>Id2</w:t>
      </w:r>
      <w:r w:rsidR="002B1530" w:rsidRPr="00396C07">
        <w:rPr>
          <w:rFonts w:ascii="Times New Roman" w:hAnsi="Times New Roman" w:cs="Times New Roman"/>
          <w:sz w:val="24"/>
          <w:szCs w:val="24"/>
        </w:rPr>
        <w:t xml:space="preserve">-/- </w:t>
      </w:r>
      <w:r w:rsidRPr="00396C07">
        <w:rPr>
          <w:rFonts w:ascii="Times New Roman" w:hAnsi="Times New Roman" w:cs="Times New Roman"/>
          <w:sz w:val="24"/>
          <w:szCs w:val="24"/>
        </w:rPr>
        <w:t>mice exhibit</w:t>
      </w:r>
      <w:r w:rsidR="00A15A5E" w:rsidRPr="00396C07">
        <w:rPr>
          <w:rFonts w:ascii="Times New Roman" w:hAnsi="Times New Roman" w:cs="Times New Roman"/>
          <w:sz w:val="24"/>
          <w:szCs w:val="24"/>
        </w:rPr>
        <w:t>ed</w:t>
      </w:r>
      <w:r w:rsidRPr="00396C07">
        <w:rPr>
          <w:rFonts w:ascii="Times New Roman" w:hAnsi="Times New Roman" w:cs="Times New Roman"/>
          <w:sz w:val="24"/>
          <w:szCs w:val="24"/>
        </w:rPr>
        <w:t xml:space="preserve"> more pronounced extended activity patterns than males. </w:t>
      </w:r>
      <w:r w:rsidR="005F46E1" w:rsidRPr="00396C07">
        <w:rPr>
          <w:rFonts w:ascii="Times New Roman" w:hAnsi="Times New Roman" w:cs="Times New Roman"/>
          <w:sz w:val="24"/>
          <w:szCs w:val="24"/>
        </w:rPr>
        <w:t xml:space="preserve">Similar to the difference observed between male </w:t>
      </w:r>
      <w:r w:rsidR="005F46E1" w:rsidRPr="00396C07">
        <w:rPr>
          <w:rFonts w:ascii="Times New Roman" w:hAnsi="Times New Roman" w:cs="Times New Roman"/>
          <w:i/>
          <w:sz w:val="24"/>
          <w:szCs w:val="24"/>
        </w:rPr>
        <w:t>Id2</w:t>
      </w:r>
      <w:r w:rsidR="005F46E1" w:rsidRPr="00396C07">
        <w:rPr>
          <w:rFonts w:ascii="Times New Roman" w:hAnsi="Times New Roman" w:cs="Times New Roman"/>
          <w:sz w:val="24"/>
          <w:szCs w:val="24"/>
        </w:rPr>
        <w:t xml:space="preserve">-/- and WT mice (Fig. S1C), female </w:t>
      </w:r>
      <w:r w:rsidR="005F46E1" w:rsidRPr="00396C07">
        <w:rPr>
          <w:rFonts w:ascii="Times New Roman" w:hAnsi="Times New Roman" w:cs="Times New Roman"/>
          <w:i/>
          <w:sz w:val="24"/>
          <w:szCs w:val="24"/>
        </w:rPr>
        <w:t>Id2</w:t>
      </w:r>
      <w:r w:rsidR="005F46E1" w:rsidRPr="00396C07">
        <w:rPr>
          <w:rFonts w:ascii="Times New Roman" w:hAnsi="Times New Roman" w:cs="Times New Roman"/>
          <w:sz w:val="24"/>
          <w:szCs w:val="24"/>
        </w:rPr>
        <w:t xml:space="preserve">-/- mice exhibited </w:t>
      </w:r>
      <w:r w:rsidR="0071141E" w:rsidRPr="00396C07">
        <w:rPr>
          <w:rFonts w:ascii="Times New Roman" w:hAnsi="Times New Roman" w:cs="Times New Roman"/>
          <w:sz w:val="24"/>
          <w:szCs w:val="24"/>
        </w:rPr>
        <w:t xml:space="preserve">a </w:t>
      </w:r>
      <w:r w:rsidR="00121F5D" w:rsidRPr="00396C07">
        <w:rPr>
          <w:rFonts w:ascii="Times New Roman" w:hAnsi="Times New Roman" w:cs="Times New Roman"/>
          <w:sz w:val="24"/>
          <w:szCs w:val="24"/>
        </w:rPr>
        <w:t>reduction in late daytime anticipatory activity</w:t>
      </w:r>
      <w:r w:rsidR="005F46E1" w:rsidRPr="00396C07">
        <w:rPr>
          <w:rFonts w:ascii="Times New Roman" w:hAnsi="Times New Roman" w:cs="Times New Roman"/>
          <w:sz w:val="24"/>
          <w:szCs w:val="24"/>
        </w:rPr>
        <w:t xml:space="preserve">, </w:t>
      </w:r>
      <w:r w:rsidR="0071141E" w:rsidRPr="00396C07">
        <w:rPr>
          <w:rFonts w:ascii="Times New Roman" w:hAnsi="Times New Roman" w:cs="Times New Roman"/>
          <w:sz w:val="24"/>
          <w:szCs w:val="24"/>
        </w:rPr>
        <w:t>observed in</w:t>
      </w:r>
      <w:r w:rsidR="005F46E1" w:rsidRPr="00396C07">
        <w:rPr>
          <w:rFonts w:ascii="Times New Roman" w:hAnsi="Times New Roman" w:cs="Times New Roman"/>
          <w:sz w:val="24"/>
          <w:szCs w:val="24"/>
        </w:rPr>
        <w:t xml:space="preserve"> </w:t>
      </w:r>
      <w:r w:rsidR="005F46E1" w:rsidRPr="00396C07">
        <w:rPr>
          <w:rFonts w:ascii="Times New Roman" w:hAnsi="Times New Roman" w:cs="Times New Roman"/>
          <w:i/>
          <w:sz w:val="24"/>
          <w:szCs w:val="24"/>
        </w:rPr>
        <w:t>both</w:t>
      </w:r>
      <w:r w:rsidR="005F46E1" w:rsidRPr="00396C07">
        <w:rPr>
          <w:rFonts w:ascii="Times New Roman" w:hAnsi="Times New Roman" w:cs="Times New Roman"/>
          <w:sz w:val="24"/>
          <w:szCs w:val="24"/>
        </w:rPr>
        <w:t xml:space="preserve"> PIR and wheel running activity profiles (Fig</w:t>
      </w:r>
      <w:r w:rsidR="004C4384" w:rsidRPr="00396C07">
        <w:rPr>
          <w:rFonts w:ascii="Times New Roman" w:hAnsi="Times New Roman" w:cs="Times New Roman"/>
          <w:sz w:val="24"/>
          <w:szCs w:val="24"/>
        </w:rPr>
        <w:t>.</w:t>
      </w:r>
      <w:r w:rsidR="005F46E1" w:rsidRPr="00396C07">
        <w:rPr>
          <w:rFonts w:ascii="Times New Roman" w:hAnsi="Times New Roman" w:cs="Times New Roman"/>
          <w:sz w:val="24"/>
          <w:szCs w:val="24"/>
        </w:rPr>
        <w:t xml:space="preserve"> S1H, J). </w:t>
      </w:r>
      <w:r w:rsidRPr="00396C07">
        <w:rPr>
          <w:rFonts w:ascii="Times New Roman" w:hAnsi="Times New Roman" w:cs="Times New Roman"/>
          <w:sz w:val="24"/>
          <w:szCs w:val="24"/>
        </w:rPr>
        <w:t xml:space="preserve">The alterations in the feeding and locomotor activity patterns among </w:t>
      </w:r>
      <w:r w:rsidR="00AC34EE" w:rsidRPr="00396C07">
        <w:rPr>
          <w:rFonts w:ascii="Times New Roman" w:hAnsi="Times New Roman" w:cs="Times New Roman"/>
          <w:i/>
          <w:sz w:val="24"/>
          <w:szCs w:val="24"/>
        </w:rPr>
        <w:t>Id2</w:t>
      </w:r>
      <w:r w:rsidR="00AC34EE" w:rsidRPr="00396C07">
        <w:rPr>
          <w:rFonts w:ascii="Times New Roman" w:hAnsi="Times New Roman" w:cs="Times New Roman"/>
          <w:sz w:val="24"/>
          <w:szCs w:val="24"/>
        </w:rPr>
        <w:t xml:space="preserve">-/- </w:t>
      </w:r>
      <w:r w:rsidRPr="00396C07">
        <w:rPr>
          <w:rFonts w:ascii="Times New Roman" w:hAnsi="Times New Roman" w:cs="Times New Roman"/>
          <w:sz w:val="24"/>
          <w:szCs w:val="24"/>
        </w:rPr>
        <w:t xml:space="preserve">males and females were more consistent under DD conditions. </w:t>
      </w:r>
    </w:p>
    <w:p w14:paraId="08E42ABF" w14:textId="77777777" w:rsidR="005F629B" w:rsidRPr="00396C07" w:rsidRDefault="005F629B" w:rsidP="00BB6D70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48964A" w14:textId="77777777" w:rsidR="005F629B" w:rsidRPr="00396C07" w:rsidRDefault="005F629B" w:rsidP="00BB6D7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C07">
        <w:rPr>
          <w:rFonts w:ascii="Times New Roman" w:hAnsi="Times New Roman" w:cs="Times New Roman"/>
          <w:b/>
          <w:sz w:val="24"/>
          <w:szCs w:val="24"/>
        </w:rPr>
        <w:t xml:space="preserve">Food consumption in light and dark phases of the LD cycle. </w:t>
      </w:r>
      <w:r w:rsidRPr="00396C07">
        <w:rPr>
          <w:rFonts w:ascii="Times New Roman" w:hAnsi="Times New Roman" w:cs="Times New Roman"/>
          <w:sz w:val="24"/>
          <w:szCs w:val="24"/>
        </w:rPr>
        <w:t>We assessed the food consumption in animals provided with both standard caging and cages equipped with a running wheel</w:t>
      </w:r>
      <w:r w:rsidR="006416E5" w:rsidRPr="00396C07">
        <w:rPr>
          <w:rFonts w:ascii="Times New Roman" w:hAnsi="Times New Roman" w:cs="Times New Roman"/>
          <w:sz w:val="24"/>
          <w:szCs w:val="24"/>
        </w:rPr>
        <w:t xml:space="preserve"> under LD conditions</w:t>
      </w:r>
      <w:r w:rsidRPr="00396C07">
        <w:rPr>
          <w:rFonts w:ascii="Times New Roman" w:hAnsi="Times New Roman" w:cs="Times New Roman"/>
          <w:sz w:val="24"/>
          <w:szCs w:val="24"/>
        </w:rPr>
        <w:t xml:space="preserve">. In standard cages during dark phase, WT males consumed less food </w:t>
      </w:r>
      <w:r w:rsidR="006416E5" w:rsidRPr="00396C07">
        <w:rPr>
          <w:rFonts w:ascii="Times New Roman" w:hAnsi="Times New Roman" w:cs="Times New Roman"/>
          <w:sz w:val="24"/>
          <w:szCs w:val="24"/>
        </w:rPr>
        <w:t xml:space="preserve">relative to their body mass </w:t>
      </w:r>
      <w:r w:rsidRPr="00396C07">
        <w:rPr>
          <w:rFonts w:ascii="Times New Roman" w:hAnsi="Times New Roman" w:cs="Times New Roman"/>
          <w:sz w:val="24"/>
          <w:szCs w:val="24"/>
        </w:rPr>
        <w:t xml:space="preserve">when compared to WT females and </w:t>
      </w:r>
      <w:r w:rsidR="002B1530" w:rsidRPr="00396C07">
        <w:rPr>
          <w:rFonts w:ascii="Times New Roman" w:hAnsi="Times New Roman" w:cs="Times New Roman"/>
          <w:i/>
          <w:sz w:val="24"/>
          <w:szCs w:val="24"/>
        </w:rPr>
        <w:t>Id2</w:t>
      </w:r>
      <w:r w:rsidR="002B1530" w:rsidRPr="00396C07">
        <w:rPr>
          <w:rFonts w:ascii="Times New Roman" w:hAnsi="Times New Roman" w:cs="Times New Roman"/>
          <w:sz w:val="24"/>
          <w:szCs w:val="24"/>
        </w:rPr>
        <w:t xml:space="preserve">-/- </w:t>
      </w:r>
      <w:r w:rsidRPr="00396C07">
        <w:rPr>
          <w:rFonts w:ascii="Times New Roman" w:hAnsi="Times New Roman" w:cs="Times New Roman"/>
          <w:sz w:val="24"/>
          <w:szCs w:val="24"/>
        </w:rPr>
        <w:t>males (Fig. S</w:t>
      </w:r>
      <w:r w:rsidR="0050382B" w:rsidRPr="00396C07">
        <w:rPr>
          <w:rFonts w:ascii="Times New Roman" w:hAnsi="Times New Roman" w:cs="Times New Roman"/>
          <w:sz w:val="24"/>
          <w:szCs w:val="24"/>
        </w:rPr>
        <w:t>2</w:t>
      </w:r>
      <w:r w:rsidRPr="00396C07">
        <w:rPr>
          <w:rFonts w:ascii="Times New Roman" w:hAnsi="Times New Roman" w:cs="Times New Roman"/>
          <w:sz w:val="24"/>
          <w:szCs w:val="24"/>
        </w:rPr>
        <w:t>C), but the light phase feeding was not significantly different between genotypes or sexes (Fig. S</w:t>
      </w:r>
      <w:r w:rsidR="0050382B" w:rsidRPr="00396C07">
        <w:rPr>
          <w:rFonts w:ascii="Times New Roman" w:hAnsi="Times New Roman" w:cs="Times New Roman"/>
          <w:sz w:val="24"/>
          <w:szCs w:val="24"/>
        </w:rPr>
        <w:t>2</w:t>
      </w:r>
      <w:r w:rsidRPr="00396C07">
        <w:rPr>
          <w:rFonts w:ascii="Times New Roman" w:hAnsi="Times New Roman" w:cs="Times New Roman"/>
          <w:sz w:val="24"/>
          <w:szCs w:val="24"/>
        </w:rPr>
        <w:t xml:space="preserve">D). In the wheel running cages, the food intake in the dark phase by </w:t>
      </w:r>
      <w:r w:rsidR="002B1530" w:rsidRPr="00396C07">
        <w:rPr>
          <w:rFonts w:ascii="Times New Roman" w:hAnsi="Times New Roman" w:cs="Times New Roman"/>
          <w:i/>
          <w:sz w:val="24"/>
          <w:szCs w:val="24"/>
        </w:rPr>
        <w:t>Id2</w:t>
      </w:r>
      <w:r w:rsidR="002B1530" w:rsidRPr="00396C07">
        <w:rPr>
          <w:rFonts w:ascii="Times New Roman" w:hAnsi="Times New Roman" w:cs="Times New Roman"/>
          <w:sz w:val="24"/>
          <w:szCs w:val="24"/>
        </w:rPr>
        <w:t xml:space="preserve">-/- </w:t>
      </w:r>
      <w:r w:rsidRPr="00396C07">
        <w:rPr>
          <w:rFonts w:ascii="Times New Roman" w:hAnsi="Times New Roman" w:cs="Times New Roman"/>
          <w:sz w:val="24"/>
          <w:szCs w:val="24"/>
        </w:rPr>
        <w:t xml:space="preserve">males was greater than the WT males. Also, WT females were observed to consume </w:t>
      </w:r>
      <w:r w:rsidRPr="00396C07">
        <w:rPr>
          <w:rFonts w:ascii="Times New Roman" w:hAnsi="Times New Roman" w:cs="Times New Roman"/>
          <w:sz w:val="24"/>
          <w:szCs w:val="24"/>
        </w:rPr>
        <w:lastRenderedPageBreak/>
        <w:t xml:space="preserve">more food </w:t>
      </w:r>
      <w:r w:rsidR="006416E5" w:rsidRPr="00396C07">
        <w:rPr>
          <w:rFonts w:ascii="Times New Roman" w:hAnsi="Times New Roman" w:cs="Times New Roman"/>
          <w:sz w:val="24"/>
          <w:szCs w:val="24"/>
        </w:rPr>
        <w:t xml:space="preserve">relative to body mass </w:t>
      </w:r>
      <w:r w:rsidRPr="00396C07">
        <w:rPr>
          <w:rFonts w:ascii="Times New Roman" w:hAnsi="Times New Roman" w:cs="Times New Roman"/>
          <w:sz w:val="24"/>
          <w:szCs w:val="24"/>
        </w:rPr>
        <w:t xml:space="preserve">than </w:t>
      </w:r>
      <w:r w:rsidR="00443043" w:rsidRPr="00396C07">
        <w:rPr>
          <w:rFonts w:ascii="Times New Roman" w:hAnsi="Times New Roman" w:cs="Times New Roman"/>
          <w:i/>
          <w:sz w:val="24"/>
          <w:szCs w:val="24"/>
        </w:rPr>
        <w:t>Id2</w:t>
      </w:r>
      <w:r w:rsidR="00443043" w:rsidRPr="00396C07">
        <w:rPr>
          <w:rFonts w:ascii="Times New Roman" w:hAnsi="Times New Roman" w:cs="Times New Roman"/>
          <w:sz w:val="24"/>
          <w:szCs w:val="24"/>
        </w:rPr>
        <w:t xml:space="preserve">-/- </w:t>
      </w:r>
      <w:r w:rsidRPr="00396C07">
        <w:rPr>
          <w:rFonts w:ascii="Times New Roman" w:hAnsi="Times New Roman" w:cs="Times New Roman"/>
          <w:sz w:val="24"/>
          <w:szCs w:val="24"/>
        </w:rPr>
        <w:t xml:space="preserve">females and WT males </w:t>
      </w:r>
      <w:bookmarkStart w:id="1" w:name="OLE_LINK1"/>
      <w:r w:rsidRPr="00396C07">
        <w:rPr>
          <w:rFonts w:ascii="Times New Roman" w:hAnsi="Times New Roman" w:cs="Times New Roman"/>
          <w:sz w:val="24"/>
          <w:szCs w:val="24"/>
        </w:rPr>
        <w:t>(Fig. S</w:t>
      </w:r>
      <w:r w:rsidR="0050382B" w:rsidRPr="00396C07">
        <w:rPr>
          <w:rFonts w:ascii="Times New Roman" w:hAnsi="Times New Roman" w:cs="Times New Roman"/>
          <w:sz w:val="24"/>
          <w:szCs w:val="24"/>
        </w:rPr>
        <w:t>2</w:t>
      </w:r>
      <w:r w:rsidRPr="00396C07">
        <w:rPr>
          <w:rFonts w:ascii="Times New Roman" w:hAnsi="Times New Roman" w:cs="Times New Roman"/>
          <w:sz w:val="24"/>
          <w:szCs w:val="24"/>
        </w:rPr>
        <w:t>E)</w:t>
      </w:r>
      <w:bookmarkEnd w:id="1"/>
      <w:r w:rsidRPr="00396C07">
        <w:rPr>
          <w:rFonts w:ascii="Times New Roman" w:hAnsi="Times New Roman" w:cs="Times New Roman"/>
          <w:sz w:val="24"/>
          <w:szCs w:val="24"/>
        </w:rPr>
        <w:t>. The food intake in the light phase when housed in wheel cages was not significantly different between genotypes or sexes (Fig. S</w:t>
      </w:r>
      <w:r w:rsidR="0050382B" w:rsidRPr="00396C07">
        <w:rPr>
          <w:rFonts w:ascii="Times New Roman" w:hAnsi="Times New Roman" w:cs="Times New Roman"/>
          <w:sz w:val="24"/>
          <w:szCs w:val="24"/>
        </w:rPr>
        <w:t>2</w:t>
      </w:r>
      <w:r w:rsidR="001D2582" w:rsidRPr="00396C07">
        <w:rPr>
          <w:rFonts w:ascii="Times New Roman" w:hAnsi="Times New Roman" w:cs="Times New Roman"/>
          <w:sz w:val="24"/>
          <w:szCs w:val="24"/>
        </w:rPr>
        <w:t>F</w:t>
      </w:r>
      <w:r w:rsidRPr="00396C07">
        <w:rPr>
          <w:rFonts w:ascii="Times New Roman" w:hAnsi="Times New Roman" w:cs="Times New Roman"/>
          <w:sz w:val="24"/>
          <w:szCs w:val="24"/>
        </w:rPr>
        <w:t xml:space="preserve">). In summary, the greater food intake by </w:t>
      </w:r>
      <w:r w:rsidR="00443043" w:rsidRPr="00396C07">
        <w:rPr>
          <w:rFonts w:ascii="Times New Roman" w:hAnsi="Times New Roman" w:cs="Times New Roman"/>
          <w:i/>
          <w:sz w:val="24"/>
          <w:szCs w:val="24"/>
        </w:rPr>
        <w:t>Id2</w:t>
      </w:r>
      <w:r w:rsidR="00443043" w:rsidRPr="00396C07">
        <w:rPr>
          <w:rFonts w:ascii="Times New Roman" w:hAnsi="Times New Roman" w:cs="Times New Roman"/>
          <w:sz w:val="24"/>
          <w:szCs w:val="24"/>
        </w:rPr>
        <w:t xml:space="preserve">-/- </w:t>
      </w:r>
      <w:r w:rsidRPr="00396C07">
        <w:rPr>
          <w:rFonts w:ascii="Times New Roman" w:hAnsi="Times New Roman" w:cs="Times New Roman"/>
          <w:sz w:val="24"/>
          <w:szCs w:val="24"/>
        </w:rPr>
        <w:t xml:space="preserve">males exhibited both in standard and </w:t>
      </w:r>
      <w:r w:rsidR="00BB6D70" w:rsidRPr="00396C07">
        <w:rPr>
          <w:rFonts w:ascii="Times New Roman" w:hAnsi="Times New Roman" w:cs="Times New Roman"/>
          <w:sz w:val="24"/>
          <w:szCs w:val="24"/>
        </w:rPr>
        <w:t>wheel cages were</w:t>
      </w:r>
      <w:r w:rsidRPr="00396C07">
        <w:rPr>
          <w:rFonts w:ascii="Times New Roman" w:hAnsi="Times New Roman" w:cs="Times New Roman"/>
          <w:sz w:val="24"/>
          <w:szCs w:val="24"/>
        </w:rPr>
        <w:t xml:space="preserve"> observed only in the dark phase.</w:t>
      </w:r>
    </w:p>
    <w:p w14:paraId="5FBA5180" w14:textId="77777777" w:rsidR="005F629B" w:rsidRPr="00396C07" w:rsidRDefault="005F629B" w:rsidP="00BB6D7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629B" w:rsidRPr="00396C07" w:rsidSect="004E7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864C3" w14:textId="77777777" w:rsidR="0080660D" w:rsidRDefault="0080660D" w:rsidP="00824033">
      <w:pPr>
        <w:spacing w:after="0" w:line="240" w:lineRule="auto"/>
      </w:pPr>
      <w:r>
        <w:separator/>
      </w:r>
    </w:p>
  </w:endnote>
  <w:endnote w:type="continuationSeparator" w:id="0">
    <w:p w14:paraId="6004E992" w14:textId="77777777" w:rsidR="0080660D" w:rsidRDefault="0080660D" w:rsidP="0082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9DDD8" w14:textId="77777777" w:rsidR="0080660D" w:rsidRDefault="008066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122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C5AF5" w14:textId="77777777" w:rsidR="0080660D" w:rsidRDefault="008066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C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1A130A" w14:textId="77777777" w:rsidR="0080660D" w:rsidRDefault="0080660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10B9F" w14:textId="77777777" w:rsidR="0080660D" w:rsidRDefault="008066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57352" w14:textId="77777777" w:rsidR="0080660D" w:rsidRDefault="0080660D" w:rsidP="00824033">
      <w:pPr>
        <w:spacing w:after="0" w:line="240" w:lineRule="auto"/>
      </w:pPr>
      <w:r>
        <w:separator/>
      </w:r>
    </w:p>
  </w:footnote>
  <w:footnote w:type="continuationSeparator" w:id="0">
    <w:p w14:paraId="438ABE22" w14:textId="77777777" w:rsidR="0080660D" w:rsidRDefault="0080660D" w:rsidP="0082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37B56" w14:textId="77777777" w:rsidR="0080660D" w:rsidRDefault="008066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83DD6" w14:textId="77777777" w:rsidR="0080660D" w:rsidRDefault="0080660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89A3A" w14:textId="77777777" w:rsidR="0080660D" w:rsidRDefault="00806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17"/>
    <w:rsid w:val="00041892"/>
    <w:rsid w:val="00045090"/>
    <w:rsid w:val="000B7FA8"/>
    <w:rsid w:val="000C18EA"/>
    <w:rsid w:val="000D0FE9"/>
    <w:rsid w:val="000D2772"/>
    <w:rsid w:val="00121F5D"/>
    <w:rsid w:val="001243C0"/>
    <w:rsid w:val="00126D01"/>
    <w:rsid w:val="00132ADD"/>
    <w:rsid w:val="00171617"/>
    <w:rsid w:val="00175FCA"/>
    <w:rsid w:val="001B2AE3"/>
    <w:rsid w:val="001B4001"/>
    <w:rsid w:val="001C5BDD"/>
    <w:rsid w:val="001D2582"/>
    <w:rsid w:val="001E31E5"/>
    <w:rsid w:val="00212B6B"/>
    <w:rsid w:val="00214845"/>
    <w:rsid w:val="0023181D"/>
    <w:rsid w:val="002417E1"/>
    <w:rsid w:val="00241DE7"/>
    <w:rsid w:val="0024510A"/>
    <w:rsid w:val="00286D0A"/>
    <w:rsid w:val="002A3DBF"/>
    <w:rsid w:val="002A45C1"/>
    <w:rsid w:val="002B1530"/>
    <w:rsid w:val="003419CE"/>
    <w:rsid w:val="00363A84"/>
    <w:rsid w:val="003960E3"/>
    <w:rsid w:val="00396C07"/>
    <w:rsid w:val="00443043"/>
    <w:rsid w:val="00466017"/>
    <w:rsid w:val="004B72D2"/>
    <w:rsid w:val="004C4384"/>
    <w:rsid w:val="004E7646"/>
    <w:rsid w:val="0050382B"/>
    <w:rsid w:val="00506D5E"/>
    <w:rsid w:val="005234A1"/>
    <w:rsid w:val="0054783A"/>
    <w:rsid w:val="00582F5C"/>
    <w:rsid w:val="005B4D1A"/>
    <w:rsid w:val="005D428D"/>
    <w:rsid w:val="005F46E1"/>
    <w:rsid w:val="005F629B"/>
    <w:rsid w:val="006002F2"/>
    <w:rsid w:val="00600F50"/>
    <w:rsid w:val="00603DC8"/>
    <w:rsid w:val="00616909"/>
    <w:rsid w:val="006354F3"/>
    <w:rsid w:val="006416E5"/>
    <w:rsid w:val="00647F40"/>
    <w:rsid w:val="00656AAE"/>
    <w:rsid w:val="006935FB"/>
    <w:rsid w:val="0071141E"/>
    <w:rsid w:val="00715C52"/>
    <w:rsid w:val="00750B6A"/>
    <w:rsid w:val="00793022"/>
    <w:rsid w:val="007C193F"/>
    <w:rsid w:val="0080660D"/>
    <w:rsid w:val="00824033"/>
    <w:rsid w:val="008F67F4"/>
    <w:rsid w:val="00912B9C"/>
    <w:rsid w:val="00927CD7"/>
    <w:rsid w:val="0097410F"/>
    <w:rsid w:val="009C7A2B"/>
    <w:rsid w:val="009D0E06"/>
    <w:rsid w:val="00A04AA7"/>
    <w:rsid w:val="00A15A5E"/>
    <w:rsid w:val="00A42262"/>
    <w:rsid w:val="00A94622"/>
    <w:rsid w:val="00AB34F1"/>
    <w:rsid w:val="00AC34EE"/>
    <w:rsid w:val="00AE0E7A"/>
    <w:rsid w:val="00AE4B46"/>
    <w:rsid w:val="00AF2797"/>
    <w:rsid w:val="00B16F43"/>
    <w:rsid w:val="00B53FA8"/>
    <w:rsid w:val="00B930C0"/>
    <w:rsid w:val="00BA0649"/>
    <w:rsid w:val="00BA7984"/>
    <w:rsid w:val="00BB6D70"/>
    <w:rsid w:val="00BC6DD1"/>
    <w:rsid w:val="00BD3592"/>
    <w:rsid w:val="00C50159"/>
    <w:rsid w:val="00C81907"/>
    <w:rsid w:val="00CD5209"/>
    <w:rsid w:val="00D0168D"/>
    <w:rsid w:val="00D0716D"/>
    <w:rsid w:val="00D866E3"/>
    <w:rsid w:val="00D974D3"/>
    <w:rsid w:val="00E81365"/>
    <w:rsid w:val="00E86E10"/>
    <w:rsid w:val="00EA2E8C"/>
    <w:rsid w:val="00EA3654"/>
    <w:rsid w:val="00EC30D2"/>
    <w:rsid w:val="00ED6A76"/>
    <w:rsid w:val="00F31FDD"/>
    <w:rsid w:val="00F47882"/>
    <w:rsid w:val="00F56479"/>
    <w:rsid w:val="00F72879"/>
    <w:rsid w:val="00F74A2C"/>
    <w:rsid w:val="00F82FDF"/>
    <w:rsid w:val="00FC01B2"/>
    <w:rsid w:val="00FD39BF"/>
    <w:rsid w:val="00FE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85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E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0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E7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33"/>
  </w:style>
  <w:style w:type="paragraph" w:styleId="Footer">
    <w:name w:val="footer"/>
    <w:basedOn w:val="Normal"/>
    <w:link w:val="FooterChar"/>
    <w:uiPriority w:val="99"/>
    <w:unhideWhenUsed/>
    <w:rsid w:val="0082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E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0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E7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33"/>
  </w:style>
  <w:style w:type="paragraph" w:styleId="Footer">
    <w:name w:val="footer"/>
    <w:basedOn w:val="Normal"/>
    <w:link w:val="FooterChar"/>
    <w:uiPriority w:val="99"/>
    <w:unhideWhenUsed/>
    <w:rsid w:val="0082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31D75BB-45C4-4740-AC25-C380EE49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603</Words>
  <Characters>3441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University of Notre Dame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Deepa Mathew</dc:creator>
  <cp:lastModifiedBy>Giles Duffield</cp:lastModifiedBy>
  <cp:revision>15</cp:revision>
  <cp:lastPrinted>2013-04-24T18:31:00Z</cp:lastPrinted>
  <dcterms:created xsi:type="dcterms:W3CDTF">2013-07-04T20:15:00Z</dcterms:created>
  <dcterms:modified xsi:type="dcterms:W3CDTF">2013-07-10T14:17:00Z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8682</vt:lpwstr>
  </property>
  <property fmtid="{D5CDD505-2E9C-101B-9397-08002B2CF9AE}" pid="3" name="WnCSubscriberId">
    <vt:lpwstr>3977</vt:lpwstr>
  </property>
  <property fmtid="{D5CDD505-2E9C-101B-9397-08002B2CF9AE}" pid="4" name="WnCOutputStyleId">
    <vt:lpwstr>401</vt:lpwstr>
  </property>
  <property fmtid="{D5CDD505-2E9C-101B-9397-08002B2CF9AE}" pid="5" name="RWProductId">
    <vt:lpwstr>WnC</vt:lpwstr>
  </property>
</Properties>
</file>