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2B" w:rsidRPr="003254D3" w:rsidRDefault="0001162B" w:rsidP="0001162B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254D3">
        <w:rPr>
          <w:rFonts w:ascii="Times New Roman" w:eastAsiaTheme="minorEastAsia" w:hAnsi="Times New Roman" w:cs="Times New Roman"/>
          <w:b/>
          <w:sz w:val="24"/>
          <w:szCs w:val="24"/>
        </w:rPr>
        <w:t xml:space="preserve">Text </w:t>
      </w:r>
      <w:proofErr w:type="gramStart"/>
      <w:r w:rsidRPr="003254D3">
        <w:rPr>
          <w:rFonts w:ascii="Times New Roman" w:eastAsiaTheme="minorEastAsia" w:hAnsi="Times New Roman" w:cs="Times New Roman"/>
          <w:b/>
          <w:sz w:val="24"/>
          <w:szCs w:val="24"/>
        </w:rPr>
        <w:t>S2 :</w:t>
      </w:r>
      <w:proofErr w:type="gramEnd"/>
      <w:r w:rsidRPr="003254D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3254D3">
        <w:rPr>
          <w:rFonts w:ascii="Times New Roman" w:eastAsiaTheme="minorEastAsia" w:hAnsi="Times New Roman" w:cs="Times New Roman"/>
          <w:b/>
          <w:sz w:val="24"/>
          <w:szCs w:val="24"/>
        </w:rPr>
        <w:t>Orthogonality</w:t>
      </w:r>
      <w:proofErr w:type="spellEnd"/>
      <w:r w:rsidRPr="003254D3">
        <w:rPr>
          <w:rFonts w:ascii="Times New Roman" w:eastAsiaTheme="minorEastAsia" w:hAnsi="Times New Roman" w:cs="Times New Roman"/>
          <w:b/>
          <w:sz w:val="24"/>
          <w:szCs w:val="24"/>
        </w:rPr>
        <w:t xml:space="preserve"> of the Stat-POE model before transformation</w:t>
      </w:r>
    </w:p>
    <w:p w:rsidR="0001162B" w:rsidRDefault="0001162B" w:rsidP="0001162B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In the Stat-POE model, from formulation A7, we could decompose the variance of the phenotypic value </w:t>
      </w:r>
      <w:r w:rsidRPr="00F026CF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4pt" o:ole="">
            <v:imagedata r:id="rId5" o:title=""/>
          </v:shape>
          <o:OLEObject Type="Embed" ProgID="Equation.3" ShapeID="_x0000_i1025" DrawAspect="Content" ObjectID="_1436712348" r:id="rId6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as </w:t>
      </w:r>
    </w:p>
    <w:p w:rsidR="0001162B" w:rsidRPr="00F026CF" w:rsidRDefault="0001162B" w:rsidP="0001162B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026CF">
        <w:rPr>
          <w:rFonts w:ascii="Times New Roman" w:eastAsiaTheme="minorEastAsia" w:hAnsi="Times New Roman" w:cstheme="minorHAnsi"/>
          <w:position w:val="-12"/>
          <w:sz w:val="24"/>
        </w:rPr>
        <w:object w:dxaOrig="8120" w:dyaOrig="400">
          <v:shape id="_x0000_i1026" type="#_x0000_t75" style="width:406pt;height:20pt" o:ole="">
            <v:imagedata r:id="rId7" o:title=""/>
          </v:shape>
          <o:OLEObject Type="Embed" ProgID="Equation.3" ShapeID="_x0000_i1026" DrawAspect="Content" ObjectID="_1436712349" r:id="rId8"/>
        </w:object>
      </w:r>
      <w:r w:rsidRPr="007E4F4B">
        <w:rPr>
          <w:rFonts w:ascii="Times New Roman" w:eastAsiaTheme="minorEastAsia" w:hAnsi="Times New Roman" w:cs="Times New Roman"/>
        </w:rPr>
        <w:t>, (B1</w:t>
      </w:r>
      <w:r w:rsidRPr="007E4F4B">
        <w:rPr>
          <w:rFonts w:ascii="Times New Roman" w:eastAsiaTheme="minorEastAsia" w:hAnsi="Times New Roman" w:cs="Times New Roman"/>
          <w:caps/>
        </w:rPr>
        <w:t>)</w:t>
      </w:r>
    </w:p>
    <w:p w:rsidR="0001162B" w:rsidRDefault="0001162B" w:rsidP="0001162B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54D3">
        <w:rPr>
          <w:rFonts w:ascii="Times New Roman" w:eastAsiaTheme="minorEastAsia" w:hAnsi="Times New Roman" w:cs="Times New Roman"/>
          <w:sz w:val="24"/>
          <w:szCs w:val="24"/>
        </w:rPr>
        <w:t>As</w:t>
      </w:r>
    </w:p>
    <w:p w:rsidR="0001162B" w:rsidRPr="003254D3" w:rsidRDefault="0001162B" w:rsidP="0001162B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B2DCA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80" w:dyaOrig="340">
          <v:shape id="_x0000_i1027" type="#_x0000_t75" style="width:9pt;height:17.5pt" o:ole="">
            <v:imagedata r:id="rId9" o:title=""/>
          </v:shape>
          <o:OLEObject Type="Embed" ProgID="Equation.3" ShapeID="_x0000_i1027" DrawAspect="Content" ObjectID="_1436712350" r:id="rId10"/>
        </w:object>
      </w:r>
      <w:r w:rsidRPr="00C34653">
        <w:rPr>
          <w:position w:val="-10"/>
        </w:rPr>
        <w:object w:dxaOrig="3900" w:dyaOrig="380">
          <v:shape id="_x0000_i1028" type="#_x0000_t75" style="width:195pt;height:19pt" o:ole="">
            <v:imagedata r:id="rId11" o:title=""/>
          </v:shape>
          <o:OLEObject Type="Embed" ProgID="Equation.3" ShapeID="_x0000_i1028" DrawAspect="Content" ObjectID="_1436712351" r:id="rId12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, (B2</w:t>
      </w:r>
      <w:r w:rsidRPr="003254D3">
        <w:rPr>
          <w:rFonts w:ascii="Times New Roman" w:eastAsiaTheme="minorEastAsia" w:hAnsi="Times New Roman" w:cs="Times New Roman"/>
          <w:caps/>
          <w:sz w:val="24"/>
          <w:szCs w:val="24"/>
        </w:rPr>
        <w:t>)</w:t>
      </w:r>
    </w:p>
    <w:p w:rsidR="0001162B" w:rsidRDefault="0001162B" w:rsidP="0001162B">
      <w:pPr>
        <w:tabs>
          <w:tab w:val="left" w:pos="3348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254D3">
        <w:rPr>
          <w:rFonts w:ascii="Times New Roman" w:eastAsiaTheme="minorEastAsia" w:hAnsi="Times New Roman" w:cs="Times New Roman"/>
          <w:sz w:val="24"/>
          <w:szCs w:val="24"/>
        </w:rPr>
        <w:t>and</w:t>
      </w:r>
      <w:proofErr w:type="gramEnd"/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 similarly,</w:t>
      </w:r>
    </w:p>
    <w:p w:rsidR="0001162B" w:rsidRPr="003254D3" w:rsidRDefault="0001162B" w:rsidP="0001162B">
      <w:pPr>
        <w:tabs>
          <w:tab w:val="left" w:pos="3348"/>
        </w:tabs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B2DCA">
        <w:rPr>
          <w:position w:val="-10"/>
        </w:rPr>
        <w:object w:dxaOrig="4020" w:dyaOrig="380">
          <v:shape id="_x0000_i1029" type="#_x0000_t75" style="width:201pt;height:19pt" o:ole="">
            <v:imagedata r:id="rId13" o:title=""/>
          </v:shape>
          <o:OLEObject Type="Embed" ProgID="Equation.3" ShapeID="_x0000_i1029" DrawAspect="Content" ObjectID="_1436712352" r:id="rId14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(B3</w:t>
      </w:r>
      <w:r w:rsidRPr="003254D3">
        <w:rPr>
          <w:rFonts w:ascii="Times New Roman" w:eastAsiaTheme="minorEastAsia" w:hAnsi="Times New Roman" w:cs="Times New Roman"/>
          <w:caps/>
          <w:sz w:val="24"/>
          <w:szCs w:val="24"/>
        </w:rPr>
        <w:t>)</w:t>
      </w:r>
    </w:p>
    <w:p w:rsidR="0001162B" w:rsidRDefault="0001162B" w:rsidP="0001162B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54D3">
        <w:rPr>
          <w:rFonts w:ascii="Times New Roman" w:eastAsiaTheme="minorEastAsia" w:hAnsi="Times New Roman" w:cs="Times New Roman"/>
          <w:sz w:val="24"/>
          <w:szCs w:val="24"/>
        </w:rPr>
        <w:t>Moreover</w:t>
      </w:r>
      <w:proofErr w:type="gramStart"/>
      <w:r w:rsidRPr="003254D3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 w:rsidRPr="00C34653">
        <w:rPr>
          <w:rFonts w:ascii="Times New Roman" w:eastAsiaTheme="minorEastAsia" w:hAnsi="Times New Roman" w:cstheme="minorHAnsi"/>
          <w:position w:val="-10"/>
          <w:sz w:val="24"/>
        </w:rPr>
        <w:object w:dxaOrig="3980" w:dyaOrig="360">
          <v:shape id="_x0000_i1030" type="#_x0000_t75" style="width:198.5pt;height:18pt" o:ole="">
            <v:imagedata r:id="rId15" o:title=""/>
          </v:shape>
          <o:OLEObject Type="Embed" ProgID="Equation.3" ShapeID="_x0000_i1030" DrawAspect="Content" ObjectID="_1436712353" r:id="rId16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. Therefore, we could express the additive and dominant variance components as</w:t>
      </w:r>
    </w:p>
    <w:p w:rsidR="0001162B" w:rsidRDefault="0001162B" w:rsidP="0001162B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A0A6F">
        <w:rPr>
          <w:rFonts w:ascii="Times New Roman" w:eastAsiaTheme="minorEastAsia" w:hAnsi="Times New Roman" w:cstheme="minorHAnsi"/>
          <w:position w:val="-12"/>
          <w:sz w:val="24"/>
        </w:rPr>
        <w:object w:dxaOrig="4840" w:dyaOrig="400">
          <v:shape id="_x0000_i1031" type="#_x0000_t75" style="width:242pt;height:20pt" o:ole="">
            <v:imagedata r:id="rId17" o:title=""/>
          </v:shape>
          <o:OLEObject Type="Embed" ProgID="Equation.3" ShapeID="_x0000_i1031" DrawAspect="Content" ObjectID="_1436712354" r:id="rId18"/>
        </w:object>
      </w:r>
      <w:r>
        <w:rPr>
          <w:rFonts w:ascii="Times New Roman" w:eastAsiaTheme="minorEastAsia" w:hAnsi="Times New Roman" w:cstheme="minorHAnsi"/>
          <w:sz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(B4)</w:t>
      </w:r>
    </w:p>
    <w:p w:rsidR="0001162B" w:rsidRPr="003254D3" w:rsidRDefault="0001162B" w:rsidP="0001162B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34653">
        <w:rPr>
          <w:rFonts w:ascii="Times New Roman" w:eastAsiaTheme="minorEastAsia" w:hAnsi="Times New Roman" w:cstheme="minorHAnsi"/>
          <w:position w:val="-12"/>
          <w:sz w:val="24"/>
        </w:rPr>
        <w:object w:dxaOrig="2439" w:dyaOrig="380">
          <v:shape id="_x0000_i1032" type="#_x0000_t75" style="width:122pt;height:19pt" o:ole="">
            <v:imagedata r:id="rId19" o:title=""/>
          </v:shape>
          <o:OLEObject Type="Embed" ProgID="Equation.3" ShapeID="_x0000_i1032" DrawAspect="Content" ObjectID="_1436712355" r:id="rId20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. (B5)</w:t>
      </w:r>
    </w:p>
    <w:p w:rsidR="0001162B" w:rsidRDefault="0001162B" w:rsidP="0001162B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To show the additive variance, </w:t>
      </w:r>
      <w:r w:rsidRPr="0096172B">
        <w:rPr>
          <w:rFonts w:ascii="Times New Roman" w:eastAsiaTheme="minorEastAsia" w:hAnsi="Times New Roman" w:cs="Times New Roman"/>
          <w:position w:val="-12"/>
          <w:sz w:val="24"/>
          <w:szCs w:val="24"/>
        </w:rPr>
        <w:object w:dxaOrig="300" w:dyaOrig="360">
          <v:shape id="_x0000_i1033" type="#_x0000_t75" style="width:15pt;height:18pt" o:ole="">
            <v:imagedata r:id="rId21" o:title=""/>
          </v:shape>
          <o:OLEObject Type="Embed" ProgID="Equation.3" ShapeID="_x0000_i1033" DrawAspect="Content" ObjectID="_1436712356" r:id="rId22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could be decomposed to be two parts which are only dependent on two additive effects (</w:t>
      </w:r>
      <w:r w:rsidRPr="0096172B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240" w:dyaOrig="340">
          <v:shape id="_x0000_i1034" type="#_x0000_t75" style="width:12pt;height:17.5pt" o:ole="">
            <v:imagedata r:id="rId23" o:title=""/>
          </v:shape>
          <o:OLEObject Type="Embed" ProgID="Equation.3" ShapeID="_x0000_i1034" DrawAspect="Content" ObjectID="_1436712357" r:id="rId24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6172B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260" w:dyaOrig="340">
          <v:shape id="_x0000_i1035" type="#_x0000_t75" style="width:13pt;height:17.5pt" o:ole="">
            <v:imagedata r:id="rId25" o:title=""/>
          </v:shape>
          <o:OLEObject Type="Embed" ProgID="Equation.3" ShapeID="_x0000_i1035" DrawAspect="Content" ObjectID="_1436712358" r:id="rId26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), respectively,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6172B">
        <w:rPr>
          <w:position w:val="-10"/>
        </w:rPr>
        <w:object w:dxaOrig="1579" w:dyaOrig="340">
          <v:shape id="_x0000_i1036" type="#_x0000_t75" style="width:79pt;height:17.5pt" o:ole="">
            <v:imagedata r:id="rId27" o:title=""/>
          </v:shape>
          <o:OLEObject Type="Embed" ProgID="Equation.3" ShapeID="_x0000_i1036" DrawAspect="Content" ObjectID="_1436712359" r:id="rId28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 needs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to be satisfied. And as we know</w:t>
      </w:r>
      <w:r w:rsidRPr="0096172B">
        <w:rPr>
          <w:position w:val="-10"/>
        </w:rPr>
        <w:object w:dxaOrig="6940" w:dyaOrig="380">
          <v:shape id="_x0000_i1037" type="#_x0000_t75" style="width:346.5pt;height:19pt" o:ole="">
            <v:imagedata r:id="rId29" o:title=""/>
          </v:shape>
          <o:OLEObject Type="Embed" ProgID="Equation.3" ShapeID="_x0000_i1037" DrawAspect="Content" ObjectID="_1436712360" r:id="rId30"/>
        </w:objec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which</w:t>
      </w:r>
      <w:proofErr w:type="gramEnd"/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 indeed equals to 0 if the locus is in HWE. In this way,</w:t>
      </w:r>
    </w:p>
    <w:p w:rsidR="0001162B" w:rsidRPr="003254D3" w:rsidRDefault="0001162B" w:rsidP="0001162B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6031B">
        <w:rPr>
          <w:rFonts w:ascii="Times New Roman" w:eastAsiaTheme="minorEastAsia" w:hAnsi="Times New Roman" w:cs="Times New Roman"/>
          <w:position w:val="-14"/>
          <w:sz w:val="24"/>
          <w:szCs w:val="24"/>
        </w:rPr>
        <w:object w:dxaOrig="2340" w:dyaOrig="420">
          <v:shape id="_x0000_i1038" type="#_x0000_t75" style="width:117pt;height:20.5pt" o:ole="">
            <v:imagedata r:id="rId31" o:title=""/>
          </v:shape>
          <o:OLEObject Type="Embed" ProgID="Equation.3" ShapeID="_x0000_i1038" DrawAspect="Content" ObjectID="_1436712361" r:id="rId32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, (B6</w:t>
      </w:r>
      <w:r w:rsidRPr="003254D3">
        <w:rPr>
          <w:rFonts w:ascii="Times New Roman" w:eastAsiaTheme="minorEastAsia" w:hAnsi="Times New Roman" w:cs="Times New Roman"/>
          <w:caps/>
          <w:sz w:val="24"/>
          <w:szCs w:val="24"/>
        </w:rPr>
        <w:t>)</w:t>
      </w:r>
    </w:p>
    <w:p w:rsidR="0001162B" w:rsidRPr="003254D3" w:rsidRDefault="0001162B" w:rsidP="0001162B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6031B">
        <w:rPr>
          <w:rFonts w:ascii="Times New Roman" w:eastAsiaTheme="minorEastAsia" w:hAnsi="Times New Roman" w:cs="Times New Roman"/>
          <w:position w:val="-14"/>
          <w:sz w:val="24"/>
          <w:szCs w:val="24"/>
        </w:rPr>
        <w:object w:dxaOrig="2460" w:dyaOrig="420">
          <v:shape id="_x0000_i1039" type="#_x0000_t75" style="width:123pt;height:20.5pt" o:ole="">
            <v:imagedata r:id="rId33" o:title=""/>
          </v:shape>
          <o:OLEObject Type="Embed" ProgID="Equation.3" ShapeID="_x0000_i1039" DrawAspect="Content" ObjectID="_1436712362" r:id="rId34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. (B7</w:t>
      </w:r>
      <w:r w:rsidRPr="003254D3">
        <w:rPr>
          <w:rFonts w:ascii="Times New Roman" w:eastAsiaTheme="minorEastAsia" w:hAnsi="Times New Roman" w:cs="Times New Roman"/>
          <w:caps/>
          <w:sz w:val="24"/>
          <w:szCs w:val="24"/>
        </w:rPr>
        <w:t>)</w:t>
      </w:r>
    </w:p>
    <w:p w:rsidR="0001162B" w:rsidRPr="003254D3" w:rsidRDefault="0001162B" w:rsidP="0001162B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The two additive variance components </w:t>
      </w:r>
      <w:r w:rsidRPr="00C34653">
        <w:rPr>
          <w:position w:val="-14"/>
        </w:rPr>
        <w:object w:dxaOrig="340" w:dyaOrig="380">
          <v:shape id="_x0000_i1040" type="#_x0000_t75" style="width:17.5pt;height:19pt" o:ole="">
            <v:imagedata r:id="rId35" o:title=""/>
          </v:shape>
          <o:OLEObject Type="Embed" ProgID="Equation.3" ShapeID="_x0000_i1040" DrawAspect="Content" ObjectID="_1436712363" r:id="rId36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4653">
        <w:rPr>
          <w:position w:val="-14"/>
        </w:rPr>
        <w:object w:dxaOrig="360" w:dyaOrig="380">
          <v:shape id="_x0000_i1041" type="#_x0000_t75" style="width:18pt;height:19pt" o:ole="">
            <v:imagedata r:id="rId37" o:title=""/>
          </v:shape>
          <o:OLEObject Type="Embed" ProgID="Equation.3" ShapeID="_x0000_i1041" DrawAspect="Content" ObjectID="_1436712364" r:id="rId38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 related only to the additive effects </w:t>
      </w:r>
      <w:r w:rsidRPr="00C34653">
        <w:rPr>
          <w:position w:val="-10"/>
        </w:rPr>
        <w:object w:dxaOrig="279" w:dyaOrig="340">
          <v:shape id="_x0000_i1042" type="#_x0000_t75" style="width:14pt;height:17.5pt" o:ole="">
            <v:imagedata r:id="rId39" o:title=""/>
          </v:shape>
          <o:OLEObject Type="Embed" ProgID="Equation.3" ShapeID="_x0000_i1042" DrawAspect="Content" ObjectID="_1436712365" r:id="rId40"/>
        </w:object>
      </w:r>
      <w:proofErr w:type="gramStart"/>
      <w:r w:rsidRPr="003254D3">
        <w:rPr>
          <w:rFonts w:ascii="Times New Roman" w:eastAsiaTheme="minorEastAsia" w:hAnsi="Times New Roman" w:cs="Times New Roman"/>
          <w:sz w:val="24"/>
          <w:szCs w:val="24"/>
        </w:rPr>
        <w:t>and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 w:rsidRPr="00C34653">
        <w:rPr>
          <w:position w:val="-10"/>
        </w:rPr>
        <w:object w:dxaOrig="300" w:dyaOrig="340">
          <v:shape id="_x0000_i1043" type="#_x0000_t75" style="width:15pt;height:17.5pt" o:ole="">
            <v:imagedata r:id="rId41" o:title=""/>
          </v:shape>
          <o:OLEObject Type="Embed" ProgID="Equation.3" ShapeID="_x0000_i1043" DrawAspect="Content" ObjectID="_1436712366" r:id="rId42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, respectively, with one due to maternal alleles and the other due to paternal alleles. The dominant variance component </w:t>
      </w:r>
      <w:r w:rsidRPr="00023BDD">
        <w:rPr>
          <w:position w:val="-12"/>
        </w:rPr>
        <w:object w:dxaOrig="279" w:dyaOrig="360">
          <v:shape id="_x0000_i1044" type="#_x0000_t75" style="width:14pt;height:18pt" o:ole="">
            <v:imagedata r:id="rId43" o:title=""/>
          </v:shape>
          <o:OLEObject Type="Embed" ProgID="Equation.3" ShapeID="_x0000_i1044" DrawAspect="Content" ObjectID="_1436712367" r:id="rId44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 is only related with the dominant </w:t>
      </w:r>
      <w:proofErr w:type="gramStart"/>
      <w:r w:rsidRPr="003254D3">
        <w:rPr>
          <w:rFonts w:ascii="Times New Roman" w:eastAsiaTheme="minorEastAsia" w:hAnsi="Times New Roman" w:cs="Times New Roman"/>
          <w:sz w:val="24"/>
          <w:szCs w:val="24"/>
        </w:rPr>
        <w:t>effect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 w:rsidRPr="00023BDD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20" w:dyaOrig="279">
          <v:shape id="_x0000_i1045" type="#_x0000_t75" style="width:11pt;height:14pt" o:ole="">
            <v:imagedata r:id="rId45" o:title=""/>
          </v:shape>
          <o:OLEObject Type="Embed" ProgID="Equation.3" ShapeID="_x0000_i1045" DrawAspect="Content" ObjectID="_1436712368" r:id="rId46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, This property of the variance component to be divided into two independent additive components and one dominant component supports the notion that the POE statistical model before transformation is orthogonal. </w:t>
      </w:r>
    </w:p>
    <w:p w:rsidR="00EA77D8" w:rsidRDefault="00EA77D8">
      <w:bookmarkStart w:id="0" w:name="_GoBack"/>
      <w:bookmarkEnd w:id="0"/>
    </w:p>
    <w:sectPr w:rsidR="00EA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83"/>
    <w:rsid w:val="0001162B"/>
    <w:rsid w:val="00057083"/>
    <w:rsid w:val="00E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>Yale University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Xiao, Feifei</dc:creator>
  <cp:keywords/>
  <dc:description/>
  <cp:lastModifiedBy>Xiao, Feifei</cp:lastModifiedBy>
  <cp:revision>2</cp:revision>
  <dcterms:created xsi:type="dcterms:W3CDTF">2013-07-30T21:38:00Z</dcterms:created>
  <dcterms:modified xsi:type="dcterms:W3CDTF">2013-07-30T21:38:00Z</dcterms:modified>
</cp:coreProperties>
</file>