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AC" w:rsidRPr="00403DAC" w:rsidRDefault="00C41A49" w:rsidP="00403DAC">
      <w:pPr>
        <w:spacing w:after="0" w:line="480" w:lineRule="auto"/>
        <w:jc w:val="both"/>
        <w:rPr>
          <w:rFonts w:ascii="Times New Roman" w:hAnsi="Times New Roman" w:cs="Times New Roman"/>
          <w:color w:val="000000" w:themeColor="text1"/>
          <w:sz w:val="24"/>
          <w:szCs w:val="24"/>
          <w:lang w:val="en-GB"/>
        </w:rPr>
      </w:pPr>
      <w:r w:rsidRPr="000D451E">
        <w:rPr>
          <w:rFonts w:ascii="Times New Roman" w:hAnsi="Times New Roman" w:cs="Times New Roman"/>
          <w:b/>
          <w:color w:val="000000" w:themeColor="text1"/>
          <w:sz w:val="24"/>
          <w:szCs w:val="24"/>
          <w:lang w:val="en-GB"/>
        </w:rPr>
        <w:t xml:space="preserve">Appendix </w:t>
      </w:r>
      <w:r w:rsidR="000D451E" w:rsidRPr="000D451E">
        <w:rPr>
          <w:rFonts w:ascii="Times New Roman" w:hAnsi="Times New Roman" w:cs="Times New Roman"/>
          <w:b/>
          <w:color w:val="000000" w:themeColor="text1"/>
          <w:sz w:val="24"/>
          <w:szCs w:val="24"/>
          <w:lang w:val="en-GB"/>
        </w:rPr>
        <w:t>S</w:t>
      </w:r>
      <w:r w:rsidRPr="000D451E">
        <w:rPr>
          <w:rFonts w:ascii="Times New Roman" w:hAnsi="Times New Roman" w:cs="Times New Roman"/>
          <w:b/>
          <w:color w:val="000000" w:themeColor="text1"/>
          <w:sz w:val="24"/>
          <w:szCs w:val="24"/>
          <w:lang w:val="en-GB"/>
        </w:rPr>
        <w:t>2</w:t>
      </w:r>
      <w:r w:rsidR="00403DAC">
        <w:rPr>
          <w:rFonts w:ascii="Times New Roman" w:hAnsi="Times New Roman"/>
          <w:color w:val="000000"/>
          <w:sz w:val="24"/>
          <w:szCs w:val="24"/>
          <w:lang w:val="en-GB"/>
        </w:rPr>
        <w:t xml:space="preserve">. </w:t>
      </w:r>
      <w:r w:rsidR="00403DAC" w:rsidRPr="00403DAC">
        <w:rPr>
          <w:rFonts w:ascii="Times New Roman" w:hAnsi="Times New Roman" w:cs="Times New Roman"/>
          <w:color w:val="000000" w:themeColor="text1"/>
          <w:sz w:val="24"/>
          <w:szCs w:val="24"/>
          <w:lang w:val="en-GB"/>
        </w:rPr>
        <w:t>Assessment of the analytical parameters</w:t>
      </w:r>
      <w:r w:rsidR="000D451E">
        <w:rPr>
          <w:rFonts w:ascii="Times New Roman" w:hAnsi="Times New Roman" w:cs="Times New Roman"/>
          <w:color w:val="000000" w:themeColor="text1"/>
          <w:sz w:val="24"/>
          <w:szCs w:val="24"/>
          <w:lang w:val="en-GB"/>
        </w:rPr>
        <w:t xml:space="preserve"> in chemical analyses.</w:t>
      </w:r>
    </w:p>
    <w:p w:rsidR="00403DAC" w:rsidRPr="009B0BBA" w:rsidRDefault="00403DAC" w:rsidP="00403DAC">
      <w:pPr>
        <w:spacing w:after="0" w:line="480" w:lineRule="auto"/>
        <w:jc w:val="both"/>
        <w:rPr>
          <w:rFonts w:ascii="Times New Roman" w:hAnsi="Times New Roman" w:cs="Times New Roman"/>
          <w:color w:val="000000" w:themeColor="text1"/>
          <w:sz w:val="24"/>
          <w:szCs w:val="24"/>
          <w:lang w:val="en-GB"/>
        </w:rPr>
      </w:pPr>
      <w:r w:rsidRPr="009B0BBA">
        <w:rPr>
          <w:rFonts w:ascii="Times New Roman" w:hAnsi="Times New Roman" w:cs="Times New Roman"/>
          <w:color w:val="000000" w:themeColor="text1"/>
          <w:sz w:val="24"/>
          <w:szCs w:val="24"/>
          <w:lang w:val="en-GB"/>
        </w:rPr>
        <w:t xml:space="preserve">Sensitivity (smallest variation in concentration discerned), linearity, limit of detection (LOD) and limit of quantification (LOQ) were calculated as reported </w:t>
      </w:r>
      <w:r>
        <w:rPr>
          <w:rFonts w:ascii="Times New Roman" w:hAnsi="Times New Roman" w:cs="Times New Roman"/>
          <w:color w:val="000000" w:themeColor="text1"/>
          <w:sz w:val="24"/>
          <w:szCs w:val="24"/>
          <w:lang w:val="en-GB"/>
        </w:rPr>
        <w:t>in [38]</w:t>
      </w:r>
      <w:r w:rsidRPr="009B0BBA">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Pr="009B0BBA">
        <w:rPr>
          <w:rFonts w:ascii="Times New Roman" w:hAnsi="Times New Roman" w:cs="Times New Roman"/>
          <w:color w:val="000000" w:themeColor="text1"/>
          <w:sz w:val="24"/>
          <w:szCs w:val="24"/>
          <w:lang w:val="en-GB"/>
        </w:rPr>
        <w:t>Repeatability was defined as the relative standard deviation of non-consecutive repeated measurements (</w:t>
      </w:r>
      <w:r>
        <w:rPr>
          <w:rFonts w:ascii="Times New Roman" w:hAnsi="Times New Roman" w:cs="Times New Roman"/>
          <w:color w:val="000000" w:themeColor="text1"/>
          <w:sz w:val="24"/>
          <w:szCs w:val="24"/>
          <w:lang w:val="en-GB"/>
        </w:rPr>
        <w:t xml:space="preserve">N </w:t>
      </w:r>
      <w:r w:rsidRPr="009B0BBA">
        <w:rPr>
          <w:rFonts w:ascii="Times New Roman" w:hAnsi="Times New Roman" w:cs="Times New Roman"/>
          <w:color w:val="000000" w:themeColor="text1"/>
          <w:sz w:val="24"/>
          <w:szCs w:val="24"/>
          <w:lang w:val="en-GB"/>
        </w:rPr>
        <w:t>= 4) of a standard solution at high and low concentration levels (ca. 270 and 40 ppb) in the same analytical set. Reproducibility was expressed as above but concerning injections in different days (</w:t>
      </w:r>
      <w:r>
        <w:rPr>
          <w:rFonts w:ascii="Times New Roman" w:hAnsi="Times New Roman" w:cs="Times New Roman"/>
          <w:color w:val="000000" w:themeColor="text1"/>
          <w:sz w:val="24"/>
          <w:szCs w:val="24"/>
          <w:lang w:val="en-GB"/>
        </w:rPr>
        <w:t>N</w:t>
      </w:r>
      <w:r w:rsidRPr="009B0BBA">
        <w:rPr>
          <w:rFonts w:ascii="Times New Roman" w:hAnsi="Times New Roman" w:cs="Times New Roman"/>
          <w:color w:val="000000" w:themeColor="text1"/>
          <w:sz w:val="24"/>
          <w:szCs w:val="24"/>
          <w:lang w:val="en-GB"/>
        </w:rPr>
        <w:t xml:space="preserve"> = 4). Recovery was calculated by standard addition to a vomit sample. First, a blank was run by extracting a vomit aliquot and injecting it per triplicate. The initial concentration of each compound was determined. Other vomit aliquots from the same sample were added with 5 μL of the corresponding standard solution resulting for each compound in three concentration levels, which ranged from 33 to 333 </w:t>
      </w:r>
      <w:r>
        <w:rPr>
          <w:rFonts w:ascii="Times New Roman" w:hAnsi="Times New Roman" w:cs="Times New Roman"/>
          <w:color w:val="000000" w:themeColor="text1"/>
          <w:sz w:val="24"/>
          <w:szCs w:val="24"/>
          <w:lang w:val="en-GB"/>
        </w:rPr>
        <w:t>ppb</w:t>
      </w:r>
      <w:r w:rsidRPr="009B0BBA">
        <w:rPr>
          <w:rFonts w:ascii="Times New Roman" w:hAnsi="Times New Roman" w:cs="Times New Roman"/>
          <w:color w:val="000000" w:themeColor="text1"/>
          <w:sz w:val="24"/>
          <w:szCs w:val="24"/>
          <w:lang w:val="en-GB"/>
        </w:rPr>
        <w:t xml:space="preserve"> for Ps, 8M, Bg and Hy, from 133 to 333 </w:t>
      </w:r>
      <w:r>
        <w:rPr>
          <w:rFonts w:ascii="Times New Roman" w:hAnsi="Times New Roman" w:cs="Times New Roman"/>
          <w:color w:val="000000" w:themeColor="text1"/>
          <w:sz w:val="24"/>
          <w:szCs w:val="24"/>
          <w:lang w:val="en-GB"/>
        </w:rPr>
        <w:t>ppb</w:t>
      </w:r>
      <w:r w:rsidRPr="009B0BBA">
        <w:rPr>
          <w:rFonts w:ascii="Times New Roman" w:hAnsi="Times New Roman" w:cs="Times New Roman"/>
          <w:color w:val="000000" w:themeColor="text1"/>
          <w:sz w:val="24"/>
          <w:szCs w:val="24"/>
          <w:lang w:val="en-GB"/>
        </w:rPr>
        <w:t xml:space="preserve"> for HCA and from 233 to 333 </w:t>
      </w:r>
      <w:r>
        <w:rPr>
          <w:rFonts w:ascii="Times New Roman" w:hAnsi="Times New Roman" w:cs="Times New Roman"/>
          <w:color w:val="000000" w:themeColor="text1"/>
          <w:sz w:val="24"/>
          <w:szCs w:val="24"/>
          <w:lang w:val="en-GB"/>
        </w:rPr>
        <w:t>ppb</w:t>
      </w:r>
      <w:r w:rsidRPr="009B0BBA">
        <w:rPr>
          <w:rFonts w:ascii="Times New Roman" w:hAnsi="Times New Roman" w:cs="Times New Roman"/>
          <w:color w:val="000000" w:themeColor="text1"/>
          <w:sz w:val="24"/>
          <w:szCs w:val="24"/>
          <w:lang w:val="en-GB"/>
        </w:rPr>
        <w:t xml:space="preserve"> for HBA. </w:t>
      </w:r>
    </w:p>
    <w:p w:rsidR="00403DAC" w:rsidRPr="009B0BBA" w:rsidRDefault="00403DAC" w:rsidP="00403DAC">
      <w:pPr>
        <w:spacing w:after="0" w:line="480" w:lineRule="auto"/>
        <w:ind w:firstLine="708"/>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w:t>
      </w:r>
      <w:r w:rsidRPr="009B0BBA">
        <w:rPr>
          <w:rFonts w:ascii="Times New Roman" w:hAnsi="Times New Roman" w:cs="Times New Roman"/>
          <w:color w:val="000000" w:themeColor="text1"/>
          <w:sz w:val="24"/>
          <w:szCs w:val="24"/>
          <w:lang w:val="en-GB"/>
        </w:rPr>
        <w:t>he analytical method had a different sensitivity for the analysed compounds</w:t>
      </w:r>
      <w:r>
        <w:rPr>
          <w:rFonts w:ascii="Times New Roman" w:hAnsi="Times New Roman" w:cs="Times New Roman"/>
          <w:color w:val="000000" w:themeColor="text1"/>
          <w:sz w:val="24"/>
          <w:szCs w:val="24"/>
          <w:lang w:val="en-GB"/>
        </w:rPr>
        <w:t xml:space="preserve"> (see table below)</w:t>
      </w:r>
      <w:r w:rsidRPr="009B0BBA">
        <w:rPr>
          <w:rFonts w:ascii="Times New Roman" w:hAnsi="Times New Roman" w:cs="Times New Roman"/>
          <w:color w:val="000000" w:themeColor="text1"/>
          <w:sz w:val="24"/>
          <w:szCs w:val="24"/>
          <w:lang w:val="en-GB"/>
        </w:rPr>
        <w:t xml:space="preserve">. The calibration curve at the low concentration range for 8M and HBA could not be used since the response was not linear. For both compounds only the calibration curve for the higher range was </w:t>
      </w:r>
      <w:r>
        <w:rPr>
          <w:rFonts w:ascii="Times New Roman" w:hAnsi="Times New Roman" w:cs="Times New Roman"/>
          <w:color w:val="000000" w:themeColor="text1"/>
          <w:sz w:val="24"/>
          <w:szCs w:val="24"/>
          <w:lang w:val="en-GB"/>
        </w:rPr>
        <w:t>employed</w:t>
      </w:r>
      <w:r w:rsidRPr="009B0BBA">
        <w:rPr>
          <w:rFonts w:ascii="Times New Roman" w:hAnsi="Times New Roman" w:cs="Times New Roman"/>
          <w:color w:val="000000" w:themeColor="text1"/>
          <w:sz w:val="24"/>
          <w:szCs w:val="24"/>
          <w:lang w:val="en-GB"/>
        </w:rPr>
        <w:t>. Recovery of the spiked samples was higher for the highest concentration level for all the compounds. It ranged from medium-high (61.7-70%) for Ps, 8M and Bg to medium-low (35.2-48.2%) for HBA and HCA. Although the analytical method for Hy was linear and very sensitive, the compound was completely lost during sample processing.</w:t>
      </w:r>
    </w:p>
    <w:p w:rsidR="00403DAC" w:rsidRDefault="00403DAC" w:rsidP="00C41A49">
      <w:pPr>
        <w:spacing w:after="0" w:line="480" w:lineRule="auto"/>
        <w:rPr>
          <w:rFonts w:ascii="Times New Roman" w:hAnsi="Times New Roman"/>
          <w:color w:val="000000"/>
          <w:sz w:val="24"/>
          <w:szCs w:val="24"/>
          <w:lang w:val="en-GB"/>
        </w:rPr>
      </w:pPr>
    </w:p>
    <w:p w:rsidR="00582B37" w:rsidRDefault="00582B37" w:rsidP="00C41A49">
      <w:pPr>
        <w:spacing w:after="0" w:line="480" w:lineRule="auto"/>
        <w:rPr>
          <w:rFonts w:ascii="Times New Roman" w:hAnsi="Times New Roman"/>
          <w:color w:val="000000"/>
          <w:sz w:val="24"/>
          <w:szCs w:val="24"/>
          <w:lang w:val="en-GB"/>
        </w:rPr>
      </w:pPr>
    </w:p>
    <w:p w:rsidR="00C41A49" w:rsidRPr="00FD539F" w:rsidRDefault="00C41A49" w:rsidP="00C41A49">
      <w:pPr>
        <w:spacing w:after="0" w:line="480" w:lineRule="auto"/>
        <w:rPr>
          <w:rFonts w:ascii="Times New Roman" w:hAnsi="Times New Roman"/>
          <w:color w:val="000000"/>
          <w:sz w:val="24"/>
          <w:szCs w:val="24"/>
          <w:lang w:val="en-GB"/>
        </w:rPr>
      </w:pPr>
      <w:r w:rsidRPr="00FD539F">
        <w:rPr>
          <w:rFonts w:ascii="Times New Roman" w:hAnsi="Times New Roman"/>
          <w:color w:val="000000"/>
          <w:sz w:val="24"/>
          <w:szCs w:val="24"/>
          <w:lang w:val="en-GB"/>
        </w:rPr>
        <w:lastRenderedPageBreak/>
        <w:t xml:space="preserve">Quality parameters of the chromatographic method and </w:t>
      </w:r>
      <w:r>
        <w:rPr>
          <w:rFonts w:ascii="Times New Roman" w:hAnsi="Times New Roman"/>
          <w:color w:val="000000"/>
          <w:sz w:val="24"/>
          <w:szCs w:val="24"/>
          <w:lang w:val="en-GB"/>
        </w:rPr>
        <w:t xml:space="preserve">efficiency of </w:t>
      </w:r>
      <w:r w:rsidRPr="00FD539F">
        <w:rPr>
          <w:rFonts w:ascii="Times New Roman" w:hAnsi="Times New Roman"/>
          <w:color w:val="000000"/>
          <w:sz w:val="24"/>
          <w:szCs w:val="24"/>
          <w:lang w:val="en-GB"/>
        </w:rPr>
        <w:t>recovery from standard addition.</w:t>
      </w:r>
      <w:r>
        <w:rPr>
          <w:rFonts w:ascii="Times New Roman" w:hAnsi="Times New Roman"/>
          <w:color w:val="000000"/>
          <w:sz w:val="24"/>
          <w:szCs w:val="24"/>
          <w:lang w:val="en-GB"/>
        </w:rPr>
        <w:t xml:space="preserve"> Ps: Psoralen; 8M: Dihydronepetalactone; Bg: Bergapten; Hy: L-hyoscyamine; HBA: Hydroxybenzoic acid; HCA: Hydroxycinnamic acid</w:t>
      </w:r>
    </w:p>
    <w:tbl>
      <w:tblPr>
        <w:tblStyle w:val="Tablaconcuadrcula"/>
        <w:tblW w:w="9536" w:type="dxa"/>
        <w:tblLook w:val="01E0"/>
      </w:tblPr>
      <w:tblGrid>
        <w:gridCol w:w="1951"/>
        <w:gridCol w:w="971"/>
        <w:gridCol w:w="1051"/>
        <w:gridCol w:w="1097"/>
        <w:gridCol w:w="1077"/>
        <w:gridCol w:w="1081"/>
        <w:gridCol w:w="1063"/>
        <w:gridCol w:w="1245"/>
      </w:tblGrid>
      <w:tr w:rsidR="00C41A49" w:rsidRPr="009B0BBA" w:rsidTr="000F0CCB">
        <w:tc>
          <w:tcPr>
            <w:tcW w:w="1951" w:type="dxa"/>
            <w:tcBorders>
              <w:top w:val="nil"/>
              <w:left w:val="nil"/>
              <w:bottom w:val="single" w:sz="4" w:space="0" w:color="auto"/>
              <w:right w:val="nil"/>
            </w:tcBorders>
          </w:tcPr>
          <w:p w:rsidR="00C41A49" w:rsidRPr="009B0BBA" w:rsidRDefault="00C41A49" w:rsidP="000F0CCB">
            <w:pPr>
              <w:keepNext/>
              <w:spacing w:before="120" w:line="480" w:lineRule="auto"/>
              <w:jc w:val="center"/>
              <w:rPr>
                <w:rFonts w:ascii="Times New Roman" w:eastAsia="Calibri" w:hAnsi="Times New Roman" w:cs="Times New Roman"/>
                <w:color w:val="000000" w:themeColor="text1"/>
                <w:sz w:val="20"/>
                <w:szCs w:val="20"/>
                <w:lang w:val="en-GB"/>
              </w:rPr>
            </w:pPr>
          </w:p>
        </w:tc>
        <w:tc>
          <w:tcPr>
            <w:tcW w:w="971" w:type="dxa"/>
            <w:tcBorders>
              <w:top w:val="nil"/>
              <w:left w:val="nil"/>
            </w:tcBorders>
          </w:tcPr>
          <w:p w:rsidR="00C41A49" w:rsidRPr="009B0BBA" w:rsidRDefault="00C41A49" w:rsidP="000F0CCB">
            <w:pPr>
              <w:keepNext/>
              <w:spacing w:before="120" w:line="480" w:lineRule="auto"/>
              <w:jc w:val="center"/>
              <w:rPr>
                <w:rFonts w:ascii="Times New Roman" w:eastAsia="Calibri" w:hAnsi="Times New Roman" w:cs="Times New Roman"/>
                <w:color w:val="000000" w:themeColor="text1"/>
                <w:sz w:val="20"/>
                <w:szCs w:val="20"/>
                <w:lang w:val="en-GB"/>
              </w:rPr>
            </w:pPr>
          </w:p>
        </w:tc>
        <w:tc>
          <w:tcPr>
            <w:tcW w:w="6614" w:type="dxa"/>
            <w:gridSpan w:val="6"/>
            <w:tcBorders>
              <w:top w:val="nil"/>
              <w:right w:val="nil"/>
            </w:tcBorders>
          </w:tcPr>
          <w:p w:rsidR="00C41A49" w:rsidRPr="009B0BBA" w:rsidRDefault="00C41A49" w:rsidP="000F0CCB">
            <w:pPr>
              <w:keepNext/>
              <w:spacing w:before="120" w:line="480" w:lineRule="auto"/>
              <w:jc w:val="center"/>
              <w:rPr>
                <w:rFonts w:ascii="Times New Roman" w:eastAsia="Calibri" w:hAnsi="Times New Roman" w:cs="Times New Roman"/>
                <w:b/>
                <w:color w:val="000000" w:themeColor="text1"/>
                <w:sz w:val="20"/>
                <w:szCs w:val="20"/>
                <w:lang w:val="en-GB"/>
              </w:rPr>
            </w:pPr>
            <w:r w:rsidRPr="009B0BBA">
              <w:rPr>
                <w:rFonts w:ascii="Times New Roman" w:eastAsia="Calibri" w:hAnsi="Times New Roman" w:cs="Times New Roman"/>
                <w:b/>
                <w:color w:val="000000" w:themeColor="text1"/>
                <w:sz w:val="20"/>
                <w:szCs w:val="20"/>
                <w:lang w:val="en-GB"/>
              </w:rPr>
              <w:t>Analysed compounds</w:t>
            </w:r>
          </w:p>
        </w:tc>
      </w:tr>
      <w:tr w:rsidR="00C41A49" w:rsidRPr="009B0BBA" w:rsidTr="000F0CCB">
        <w:tc>
          <w:tcPr>
            <w:tcW w:w="1951" w:type="dxa"/>
            <w:tcBorders>
              <w:left w:val="nil"/>
            </w:tcBorders>
          </w:tcPr>
          <w:p w:rsidR="00C41A49" w:rsidRPr="009B0BBA" w:rsidRDefault="00C41A49" w:rsidP="000F0CCB">
            <w:pPr>
              <w:keepNext/>
              <w:spacing w:before="120" w:line="480" w:lineRule="auto"/>
              <w:jc w:val="center"/>
              <w:rPr>
                <w:rFonts w:ascii="Times New Roman" w:eastAsia="Calibri" w:hAnsi="Times New Roman" w:cs="Times New Roman"/>
                <w:b/>
                <w:color w:val="000000" w:themeColor="text1"/>
                <w:sz w:val="20"/>
                <w:szCs w:val="20"/>
                <w:lang w:val="en-GB"/>
              </w:rPr>
            </w:pPr>
            <w:r w:rsidRPr="009B0BBA">
              <w:rPr>
                <w:rFonts w:ascii="Times New Roman" w:eastAsia="Calibri" w:hAnsi="Times New Roman" w:cs="Times New Roman"/>
                <w:b/>
                <w:color w:val="000000" w:themeColor="text1"/>
                <w:sz w:val="20"/>
                <w:szCs w:val="20"/>
                <w:lang w:val="en-GB"/>
              </w:rPr>
              <w:t>Analytical parameters</w:t>
            </w:r>
          </w:p>
        </w:tc>
        <w:tc>
          <w:tcPr>
            <w:tcW w:w="971" w:type="dxa"/>
          </w:tcPr>
          <w:p w:rsidR="00C41A49" w:rsidRPr="009B0BBA" w:rsidRDefault="00C41A49" w:rsidP="000F0CCB">
            <w:pPr>
              <w:keepNext/>
              <w:spacing w:before="120" w:after="120" w:line="480" w:lineRule="auto"/>
              <w:jc w:val="center"/>
              <w:rPr>
                <w:rFonts w:ascii="Times New Roman" w:eastAsia="Calibri" w:hAnsi="Times New Roman" w:cs="Times New Roman"/>
                <w:b/>
                <w:color w:val="000000" w:themeColor="text1"/>
                <w:sz w:val="20"/>
                <w:szCs w:val="20"/>
                <w:lang w:val="en-GB"/>
              </w:rPr>
            </w:pPr>
            <w:r w:rsidRPr="009B0BBA">
              <w:rPr>
                <w:rFonts w:ascii="Times New Roman" w:eastAsia="Calibri" w:hAnsi="Times New Roman" w:cs="Times New Roman"/>
                <w:b/>
                <w:color w:val="000000" w:themeColor="text1"/>
                <w:sz w:val="20"/>
                <w:szCs w:val="20"/>
                <w:lang w:val="en-GB"/>
              </w:rPr>
              <w:t>Ranges</w:t>
            </w:r>
          </w:p>
        </w:tc>
        <w:tc>
          <w:tcPr>
            <w:tcW w:w="1051" w:type="dxa"/>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Ps</w:t>
            </w:r>
          </w:p>
        </w:tc>
        <w:tc>
          <w:tcPr>
            <w:tcW w:w="1097" w:type="dxa"/>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8M</w:t>
            </w:r>
          </w:p>
        </w:tc>
        <w:tc>
          <w:tcPr>
            <w:tcW w:w="1077" w:type="dxa"/>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Bg</w:t>
            </w:r>
          </w:p>
        </w:tc>
        <w:tc>
          <w:tcPr>
            <w:tcW w:w="1081" w:type="dxa"/>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Hy</w:t>
            </w:r>
          </w:p>
        </w:tc>
        <w:tc>
          <w:tcPr>
            <w:tcW w:w="1063" w:type="dxa"/>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HBA</w:t>
            </w:r>
          </w:p>
        </w:tc>
        <w:tc>
          <w:tcPr>
            <w:tcW w:w="1245" w:type="dxa"/>
            <w:tcBorders>
              <w:right w:val="nil"/>
            </w:tcBorders>
          </w:tcPr>
          <w:p w:rsidR="00C41A49" w:rsidRPr="009B0BBA" w:rsidRDefault="00C41A49" w:rsidP="000F0CCB">
            <w:pPr>
              <w:keepNext/>
              <w:spacing w:before="120" w:after="120"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HCA</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Calibration conc. range (</w:t>
            </w:r>
            <w:r>
              <w:rPr>
                <w:rFonts w:ascii="Times New Roman" w:eastAsia="Calibri" w:hAnsi="Times New Roman" w:cs="Times New Roman"/>
                <w:color w:val="000000" w:themeColor="text1"/>
                <w:sz w:val="20"/>
                <w:szCs w:val="20"/>
                <w:lang w:val="en-GB"/>
              </w:rPr>
              <w:t>ppb</w:t>
            </w:r>
            <w:r w:rsidRPr="009B0BBA">
              <w:rPr>
                <w:rFonts w:ascii="Times New Roman" w:eastAsia="Calibri" w:hAnsi="Times New Roman" w:cs="Times New Roman"/>
                <w:color w:val="000000" w:themeColor="text1"/>
                <w:sz w:val="20"/>
                <w:szCs w:val="20"/>
                <w:lang w:val="en-GB"/>
              </w:rPr>
              <w:t>)</w:t>
            </w:r>
          </w:p>
        </w:tc>
        <w:tc>
          <w:tcPr>
            <w:tcW w:w="97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c>
          <w:tcPr>
            <w:tcW w:w="1097"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c>
          <w:tcPr>
            <w:tcW w:w="1077"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c>
          <w:tcPr>
            <w:tcW w:w="108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c>
          <w:tcPr>
            <w:tcW w:w="1063"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c>
          <w:tcPr>
            <w:tcW w:w="1245" w:type="dxa"/>
            <w:tcBorders>
              <w:right w:val="nil"/>
            </w:tcBorders>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100-333</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2-10</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Sensitivity</w:t>
            </w:r>
            <w:r>
              <w:rPr>
                <w:rFonts w:ascii="Times New Roman" w:eastAsia="Calibri" w:hAnsi="Times New Roman" w:cs="Times New Roman"/>
                <w:color w:val="000000" w:themeColor="text1"/>
                <w:sz w:val="20"/>
                <w:szCs w:val="20"/>
                <w:lang w:val="en-GB"/>
              </w:rPr>
              <w:t xml:space="preserve"> (ppb)</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5.2</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3.2</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4.2</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1.5</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7.0</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6.4</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0.3</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1.5</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Linearity</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0.97</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0.98</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0.98</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0.99</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0.96</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0.96</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0.85</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0.94</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0.84</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0.74</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LOD</w:t>
            </w:r>
            <w:r>
              <w:rPr>
                <w:rFonts w:ascii="Times New Roman" w:eastAsia="Calibri" w:hAnsi="Times New Roman" w:cs="Times New Roman"/>
                <w:color w:val="000000" w:themeColor="text1"/>
                <w:sz w:val="20"/>
                <w:szCs w:val="20"/>
                <w:lang w:val="en-GB"/>
              </w:rPr>
              <w:t xml:space="preserve"> (ppb)</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16.3</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10.2</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13.1</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4.6</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21.9</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20.2</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LOQ</w:t>
            </w:r>
            <w:r>
              <w:rPr>
                <w:rFonts w:ascii="Times New Roman" w:eastAsia="Calibri" w:hAnsi="Times New Roman" w:cs="Times New Roman"/>
                <w:color w:val="000000" w:themeColor="text1"/>
                <w:sz w:val="20"/>
                <w:szCs w:val="20"/>
                <w:lang w:val="en-GB"/>
              </w:rPr>
              <w:t xml:space="preserve"> (ppb)</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54.2</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34.0</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43.7</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5.4</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73.1</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67.5</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9</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9</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16</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Repeatability</w:t>
            </w:r>
            <w:r>
              <w:rPr>
                <w:rFonts w:ascii="Times New Roman" w:eastAsia="Calibri" w:hAnsi="Times New Roman" w:cs="Times New Roman"/>
                <w:color w:val="000000" w:themeColor="text1"/>
                <w:sz w:val="20"/>
                <w:szCs w:val="20"/>
                <w:lang w:val="en-GB"/>
              </w:rPr>
              <w:t xml:space="preserve"> (%)</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0.9-2.0</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0.6-10.3</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0.7-11.5</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1.5-13.1</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0.4-4.3</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1.6-4.0</w:t>
            </w:r>
          </w:p>
        </w:tc>
      </w:tr>
      <w:tr w:rsidR="00C41A49" w:rsidRPr="009B0BBA" w:rsidTr="000F0CCB">
        <w:tc>
          <w:tcPr>
            <w:tcW w:w="1951" w:type="dxa"/>
            <w:vMerge/>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0.5-3.3</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1.2-2.9</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0.7-1.5</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4.5-12.6</w:t>
            </w:r>
          </w:p>
        </w:tc>
      </w:tr>
      <w:tr w:rsidR="00C41A49" w:rsidRPr="009B0BBA" w:rsidTr="000F0CCB">
        <w:tc>
          <w:tcPr>
            <w:tcW w:w="1951" w:type="dxa"/>
            <w:vMerge w:val="restart"/>
            <w:tcBorders>
              <w:left w:val="nil"/>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Reproducibility</w:t>
            </w:r>
            <w:r>
              <w:rPr>
                <w:rFonts w:ascii="Times New Roman" w:eastAsia="Calibri" w:hAnsi="Times New Roman" w:cs="Times New Roman"/>
                <w:color w:val="000000" w:themeColor="text1"/>
                <w:sz w:val="20"/>
                <w:szCs w:val="20"/>
                <w:lang w:val="en-GB"/>
              </w:rPr>
              <w:t xml:space="preserve"> (%)</w:t>
            </w: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4.4</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6.1</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9.6</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3.1</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6.0</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3.3</w:t>
            </w:r>
          </w:p>
        </w:tc>
      </w:tr>
      <w:tr w:rsidR="00C41A49" w:rsidRPr="009B0BBA" w:rsidTr="000F0CCB">
        <w:tc>
          <w:tcPr>
            <w:tcW w:w="1951" w:type="dxa"/>
            <w:vMerge/>
            <w:tcBorders>
              <w:left w:val="nil"/>
              <w:bottom w:val="single" w:sz="4" w:space="0" w:color="auto"/>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1.5</w:t>
            </w:r>
          </w:p>
        </w:tc>
        <w:tc>
          <w:tcPr>
            <w:tcW w:w="109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077"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2.7</w:t>
            </w:r>
          </w:p>
        </w:tc>
        <w:tc>
          <w:tcPr>
            <w:tcW w:w="1081"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4.1</w:t>
            </w:r>
          </w:p>
        </w:tc>
        <w:tc>
          <w:tcPr>
            <w:tcW w:w="1063" w:type="dxa"/>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w:t>
            </w:r>
          </w:p>
        </w:tc>
        <w:tc>
          <w:tcPr>
            <w:tcW w:w="1245" w:type="dxa"/>
            <w:tcBorders>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5.5</w:t>
            </w:r>
          </w:p>
        </w:tc>
      </w:tr>
      <w:tr w:rsidR="00C41A49" w:rsidRPr="009B0BBA" w:rsidTr="000F0CCB">
        <w:tc>
          <w:tcPr>
            <w:tcW w:w="1951" w:type="dxa"/>
            <w:vMerge w:val="restart"/>
            <w:tcBorders>
              <w:left w:val="nil"/>
              <w:bottom w:val="single" w:sz="4" w:space="0" w:color="auto"/>
            </w:tcBorders>
          </w:tcPr>
          <w:p w:rsidR="00C41A49" w:rsidRPr="009B0BBA" w:rsidRDefault="00403DAC" w:rsidP="000F0CCB">
            <w:pPr>
              <w:keepNext/>
              <w:spacing w:line="480" w:lineRule="auto"/>
              <w:rPr>
                <w:rFonts w:ascii="Times New Roman" w:eastAsia="Calibri" w:hAnsi="Times New Roman" w:cs="Times New Roman"/>
                <w:color w:val="000000" w:themeColor="text1"/>
                <w:sz w:val="20"/>
                <w:szCs w:val="20"/>
                <w:lang w:val="en-GB"/>
              </w:rPr>
            </w:pPr>
            <w:r>
              <w:rPr>
                <w:rFonts w:ascii="Times New Roman" w:eastAsia="Calibri" w:hAnsi="Times New Roman" w:cs="Times New Roman"/>
                <w:color w:val="000000" w:themeColor="text1"/>
                <w:sz w:val="20"/>
                <w:szCs w:val="20"/>
                <w:lang w:val="en-GB"/>
              </w:rPr>
              <w:t>Recovery from standard ad</w:t>
            </w:r>
            <w:r w:rsidRPr="009B0BBA">
              <w:rPr>
                <w:rFonts w:ascii="Times New Roman" w:eastAsia="Calibri" w:hAnsi="Times New Roman" w:cs="Times New Roman"/>
                <w:color w:val="000000" w:themeColor="text1"/>
                <w:sz w:val="20"/>
                <w:szCs w:val="20"/>
                <w:lang w:val="en-GB"/>
              </w:rPr>
              <w:t>dition</w:t>
            </w:r>
            <w:r w:rsidR="00C41A49">
              <w:rPr>
                <w:rFonts w:ascii="Times New Roman" w:eastAsia="Calibri" w:hAnsi="Times New Roman" w:cs="Times New Roman"/>
                <w:color w:val="000000" w:themeColor="text1"/>
                <w:sz w:val="20"/>
                <w:szCs w:val="20"/>
                <w:lang w:val="en-GB"/>
              </w:rPr>
              <w:t xml:space="preserve"> (%)</w:t>
            </w:r>
          </w:p>
        </w:tc>
        <w:tc>
          <w:tcPr>
            <w:tcW w:w="97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High</w:t>
            </w:r>
          </w:p>
        </w:tc>
        <w:tc>
          <w:tcPr>
            <w:tcW w:w="105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76.4 ± 6.0</w:t>
            </w:r>
          </w:p>
        </w:tc>
        <w:tc>
          <w:tcPr>
            <w:tcW w:w="1097"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69.8 ± 6.0</w:t>
            </w:r>
          </w:p>
        </w:tc>
        <w:tc>
          <w:tcPr>
            <w:tcW w:w="1077"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65.0 ± 8.9</w:t>
            </w:r>
          </w:p>
        </w:tc>
        <w:tc>
          <w:tcPr>
            <w:tcW w:w="1081"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0.0</w:t>
            </w:r>
          </w:p>
        </w:tc>
        <w:tc>
          <w:tcPr>
            <w:tcW w:w="1063" w:type="dxa"/>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38.4 ± 5.5</w:t>
            </w:r>
          </w:p>
        </w:tc>
        <w:tc>
          <w:tcPr>
            <w:tcW w:w="1245" w:type="dxa"/>
            <w:tcBorders>
              <w:right w:val="nil"/>
            </w:tcBorders>
            <w:vAlign w:val="center"/>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53.4 ± 4.4</w:t>
            </w:r>
          </w:p>
        </w:tc>
      </w:tr>
      <w:tr w:rsidR="00C41A49" w:rsidRPr="009B0BBA" w:rsidTr="000F0CCB">
        <w:tc>
          <w:tcPr>
            <w:tcW w:w="1951" w:type="dxa"/>
            <w:vMerge/>
            <w:tcBorders>
              <w:left w:val="nil"/>
              <w:bottom w:val="single" w:sz="4" w:space="0" w:color="auto"/>
            </w:tcBorders>
          </w:tcPr>
          <w:p w:rsidR="00C41A49" w:rsidRPr="009B0BBA" w:rsidRDefault="00C41A49" w:rsidP="000F0CCB">
            <w:pPr>
              <w:keepNext/>
              <w:spacing w:line="480" w:lineRule="auto"/>
              <w:rPr>
                <w:rFonts w:ascii="Times New Roman" w:eastAsia="Calibri" w:hAnsi="Times New Roman" w:cs="Times New Roman"/>
                <w:color w:val="000000" w:themeColor="text1"/>
                <w:sz w:val="20"/>
                <w:szCs w:val="20"/>
                <w:lang w:val="en-GB"/>
              </w:rPr>
            </w:pPr>
          </w:p>
        </w:tc>
        <w:tc>
          <w:tcPr>
            <w:tcW w:w="971"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Medium</w:t>
            </w:r>
          </w:p>
        </w:tc>
        <w:tc>
          <w:tcPr>
            <w:tcW w:w="1051"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76.7 ± 7.5</w:t>
            </w:r>
          </w:p>
        </w:tc>
        <w:tc>
          <w:tcPr>
            <w:tcW w:w="1097"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66.7 ± 4.7</w:t>
            </w:r>
          </w:p>
        </w:tc>
        <w:tc>
          <w:tcPr>
            <w:tcW w:w="1077"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60.9 ± 2.4</w:t>
            </w:r>
          </w:p>
        </w:tc>
        <w:tc>
          <w:tcPr>
            <w:tcW w:w="1081"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0.0</w:t>
            </w:r>
          </w:p>
        </w:tc>
        <w:tc>
          <w:tcPr>
            <w:tcW w:w="1063" w:type="dxa"/>
            <w:tcBorders>
              <w:bottom w:val="single" w:sz="4" w:space="0" w:color="auto"/>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34.4 ± 8.3</w:t>
            </w:r>
          </w:p>
        </w:tc>
        <w:tc>
          <w:tcPr>
            <w:tcW w:w="1245" w:type="dxa"/>
            <w:tcBorders>
              <w:bottom w:val="single" w:sz="4" w:space="0" w:color="auto"/>
              <w:right w:val="nil"/>
            </w:tcBorders>
          </w:tcPr>
          <w:p w:rsidR="00C41A49" w:rsidRPr="009B0BBA" w:rsidRDefault="00C41A49" w:rsidP="000F0CCB">
            <w:pPr>
              <w:keepNext/>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50.4 ± 9.2</w:t>
            </w:r>
          </w:p>
        </w:tc>
      </w:tr>
      <w:tr w:rsidR="00C41A49" w:rsidRPr="009B0BBA" w:rsidTr="000F0CCB">
        <w:tc>
          <w:tcPr>
            <w:tcW w:w="1951" w:type="dxa"/>
            <w:vMerge/>
            <w:tcBorders>
              <w:left w:val="nil"/>
              <w:bottom w:val="single" w:sz="4" w:space="0" w:color="auto"/>
            </w:tcBorders>
          </w:tcPr>
          <w:p w:rsidR="00C41A49" w:rsidRPr="009B0BBA" w:rsidRDefault="00C41A49" w:rsidP="000F0CCB">
            <w:pPr>
              <w:spacing w:line="480" w:lineRule="auto"/>
              <w:rPr>
                <w:rFonts w:ascii="Times New Roman" w:eastAsia="Calibri" w:hAnsi="Times New Roman" w:cs="Times New Roman"/>
                <w:color w:val="000000" w:themeColor="text1"/>
                <w:sz w:val="20"/>
                <w:szCs w:val="20"/>
                <w:lang w:val="en-GB"/>
              </w:rPr>
            </w:pPr>
          </w:p>
        </w:tc>
        <w:tc>
          <w:tcPr>
            <w:tcW w:w="971"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Low</w:t>
            </w:r>
          </w:p>
        </w:tc>
        <w:tc>
          <w:tcPr>
            <w:tcW w:w="1051"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56.9 ± 5.9</w:t>
            </w:r>
          </w:p>
        </w:tc>
        <w:tc>
          <w:tcPr>
            <w:tcW w:w="1097"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49.0 ± 7.3</w:t>
            </w:r>
          </w:p>
        </w:tc>
        <w:tc>
          <w:tcPr>
            <w:tcW w:w="1077"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59.2 ± 3.5</w:t>
            </w:r>
          </w:p>
        </w:tc>
        <w:tc>
          <w:tcPr>
            <w:tcW w:w="1081"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0.0</w:t>
            </w:r>
          </w:p>
        </w:tc>
        <w:tc>
          <w:tcPr>
            <w:tcW w:w="1063" w:type="dxa"/>
            <w:tcBorders>
              <w:bottom w:val="single" w:sz="4" w:space="0" w:color="auto"/>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32.7 ± 2.8</w:t>
            </w:r>
          </w:p>
        </w:tc>
        <w:tc>
          <w:tcPr>
            <w:tcW w:w="1245" w:type="dxa"/>
            <w:tcBorders>
              <w:bottom w:val="single" w:sz="4" w:space="0" w:color="auto"/>
              <w:right w:val="nil"/>
            </w:tcBorders>
          </w:tcPr>
          <w:p w:rsidR="00C41A49" w:rsidRPr="009B0BBA" w:rsidRDefault="00C41A49" w:rsidP="000F0CCB">
            <w:pPr>
              <w:spacing w:line="480" w:lineRule="auto"/>
              <w:jc w:val="center"/>
              <w:rPr>
                <w:rFonts w:ascii="Times New Roman" w:eastAsia="Calibri" w:hAnsi="Times New Roman" w:cs="Times New Roman"/>
                <w:color w:val="000000" w:themeColor="text1"/>
                <w:sz w:val="20"/>
                <w:szCs w:val="20"/>
                <w:lang w:val="en-GB"/>
              </w:rPr>
            </w:pPr>
            <w:r w:rsidRPr="009B0BBA">
              <w:rPr>
                <w:rFonts w:ascii="Times New Roman" w:eastAsia="Calibri" w:hAnsi="Times New Roman" w:cs="Times New Roman"/>
                <w:color w:val="000000" w:themeColor="text1"/>
                <w:sz w:val="20"/>
                <w:szCs w:val="20"/>
                <w:lang w:val="en-GB"/>
              </w:rPr>
              <w:t>40.9 ± 11.7</w:t>
            </w:r>
          </w:p>
        </w:tc>
      </w:tr>
    </w:tbl>
    <w:p w:rsidR="00C41A49" w:rsidRPr="009B0BBA" w:rsidRDefault="00C41A49" w:rsidP="00C41A49">
      <w:pPr>
        <w:spacing w:line="480" w:lineRule="auto"/>
        <w:rPr>
          <w:rFonts w:ascii="Times New Roman" w:eastAsia="Calibri" w:hAnsi="Times New Roman" w:cs="Times New Roman"/>
          <w:color w:val="000000" w:themeColor="text1"/>
          <w:lang w:val="en-GB"/>
        </w:rPr>
      </w:pPr>
    </w:p>
    <w:p w:rsidR="00C41A49" w:rsidRPr="009B0BBA" w:rsidRDefault="00C41A49" w:rsidP="00C41A49">
      <w:pPr>
        <w:spacing w:line="480" w:lineRule="auto"/>
        <w:rPr>
          <w:rFonts w:ascii="Times New Roman" w:hAnsi="Times New Roman" w:cs="Times New Roman"/>
          <w:color w:val="000000" w:themeColor="text1"/>
          <w:sz w:val="24"/>
          <w:szCs w:val="24"/>
          <w:lang w:val="en-GB"/>
        </w:rPr>
      </w:pPr>
    </w:p>
    <w:p w:rsidR="0007135B" w:rsidRDefault="0007135B"/>
    <w:sectPr w:rsidR="0007135B" w:rsidSect="005B411E">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1A49"/>
    <w:rsid w:val="0007135B"/>
    <w:rsid w:val="000C6B6F"/>
    <w:rsid w:val="000D451E"/>
    <w:rsid w:val="001772E5"/>
    <w:rsid w:val="00403DAC"/>
    <w:rsid w:val="00436EA6"/>
    <w:rsid w:val="00582B37"/>
    <w:rsid w:val="008133E7"/>
    <w:rsid w:val="00C41A49"/>
    <w:rsid w:val="00CE59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4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C41A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2367</Characters>
  <Application>Microsoft Office Word</Application>
  <DocSecurity>0</DocSecurity>
  <Lines>19</Lines>
  <Paragraphs>5</Paragraphs>
  <ScaleCrop>false</ScaleCrop>
  <Company>csic</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parejo</dc:creator>
  <cp:keywords/>
  <dc:description/>
  <cp:lastModifiedBy>parejo</cp:lastModifiedBy>
  <cp:revision>6</cp:revision>
  <dcterms:created xsi:type="dcterms:W3CDTF">2012-12-07T09:36:00Z</dcterms:created>
  <dcterms:modified xsi:type="dcterms:W3CDTF">2013-06-11T16:08:00Z</dcterms:modified>
</cp:coreProperties>
</file>