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r>
        <w:rPr>
          <w:sz w:val="28"/>
          <w:szCs w:val="28"/>
          <w:lang w:val="en-GB" w:eastAsia="sv-SE"/>
        </w:rPr>
        <w:t xml:space="preserve">SUPPORTING </w:t>
      </w:r>
      <w:r w:rsidR="004515CA">
        <w:rPr>
          <w:sz w:val="28"/>
          <w:szCs w:val="28"/>
          <w:lang w:val="en-GB" w:eastAsia="sv-SE"/>
        </w:rPr>
        <w:t>FIGURE S3 for</w:t>
      </w:r>
    </w:p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</w:p>
    <w:p w:rsidR="00480F0F" w:rsidRPr="003B2A58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proofErr w:type="gramStart"/>
      <w:r w:rsidRPr="003B2A58">
        <w:rPr>
          <w:sz w:val="28"/>
          <w:szCs w:val="28"/>
          <w:lang w:val="en-GB" w:eastAsia="sv-SE"/>
        </w:rPr>
        <w:t>A template-free, ultra-adsorbing, high surface area carbonate</w:t>
      </w:r>
      <w:proofErr w:type="gramEnd"/>
      <w:r>
        <w:rPr>
          <w:sz w:val="28"/>
          <w:szCs w:val="28"/>
          <w:lang w:val="en-GB" w:eastAsia="sv-SE"/>
        </w:rPr>
        <w:t xml:space="preserve"> nanostructure</w:t>
      </w:r>
    </w:p>
    <w:p w:rsidR="00480F0F" w:rsidRPr="00156363" w:rsidRDefault="00480F0F" w:rsidP="00480F0F">
      <w:pPr>
        <w:rPr>
          <w:lang w:val="en-US" w:eastAsia="en-US"/>
        </w:rPr>
      </w:pPr>
    </w:p>
    <w:p w:rsidR="00480F0F" w:rsidRPr="00303392" w:rsidRDefault="00480F0F" w:rsidP="00480F0F">
      <w:pPr>
        <w:jc w:val="both"/>
        <w:rPr>
          <w:lang w:val="en-GB"/>
        </w:rPr>
      </w:pPr>
      <w:r w:rsidRPr="00303392">
        <w:rPr>
          <w:lang w:val="en-GB"/>
        </w:rPr>
        <w:t>Johan Forsgren,</w:t>
      </w:r>
      <w:r>
        <w:rPr>
          <w:vertAlign w:val="superscript"/>
          <w:lang w:val="en-GB"/>
        </w:rPr>
        <w:t xml:space="preserve"> </w:t>
      </w:r>
      <w:r w:rsidRPr="00303392">
        <w:rPr>
          <w:lang w:val="en-GB"/>
        </w:rPr>
        <w:t>Sara Frykstrand, Kathryn Grandfield, Albert Mihranyan, and Maria Strømme</w:t>
      </w:r>
    </w:p>
    <w:p w:rsidR="00480F0F" w:rsidRDefault="00480F0F" w:rsidP="00480F0F">
      <w:pPr>
        <w:rPr>
          <w:lang w:val="en-GB"/>
        </w:rPr>
      </w:pPr>
    </w:p>
    <w:p w:rsidR="00480F0F" w:rsidRPr="00782FA8" w:rsidRDefault="00480F0F" w:rsidP="00480F0F">
      <w:pPr>
        <w:jc w:val="center"/>
        <w:rPr>
          <w:b/>
          <w:lang w:val="en-GB"/>
        </w:rPr>
      </w:pPr>
    </w:p>
    <w:p w:rsidR="00480F0F" w:rsidRPr="00782FA8" w:rsidRDefault="00480F0F" w:rsidP="00480F0F">
      <w:pPr>
        <w:rPr>
          <w:b/>
          <w:lang w:val="en-GB"/>
        </w:rPr>
      </w:pPr>
      <w:r>
        <w:rPr>
          <w:b/>
          <w:lang w:val="en-GB"/>
        </w:rPr>
        <w:t>S3</w:t>
      </w:r>
      <w:r w:rsidRPr="00782FA8">
        <w:rPr>
          <w:b/>
          <w:lang w:val="en-GB"/>
        </w:rPr>
        <w:t>. FTIR spectrum for the intermediate product formed during the first reaction step</w:t>
      </w:r>
    </w:p>
    <w:p w:rsidR="00480F0F" w:rsidRPr="00782FA8" w:rsidRDefault="00480F0F" w:rsidP="00480F0F">
      <w:pPr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>
            <wp:extent cx="4867275" cy="34004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0F" w:rsidRPr="00782FA8" w:rsidRDefault="00480F0F" w:rsidP="00480F0F">
      <w:pPr>
        <w:rPr>
          <w:rStyle w:val="st"/>
          <w:lang w:val="en-GB"/>
        </w:rPr>
      </w:pPr>
      <w:r w:rsidRPr="00782FA8">
        <w:rPr>
          <w:rStyle w:val="st"/>
          <w:b/>
          <w:lang w:val="en-GB"/>
        </w:rPr>
        <w:t>Fig</w:t>
      </w:r>
      <w:r>
        <w:rPr>
          <w:rStyle w:val="st"/>
          <w:b/>
          <w:lang w:val="en-GB"/>
        </w:rPr>
        <w:t>ure</w:t>
      </w:r>
      <w:r w:rsidRPr="00782FA8">
        <w:rPr>
          <w:rStyle w:val="st"/>
          <w:b/>
          <w:lang w:val="en-GB"/>
        </w:rPr>
        <w:t xml:space="preserve"> S3. </w:t>
      </w:r>
      <w:r w:rsidRPr="00782FA8">
        <w:rPr>
          <w:rStyle w:val="st"/>
          <w:lang w:val="en-GB"/>
        </w:rPr>
        <w:t xml:space="preserve">FTIR spectrum for the </w:t>
      </w:r>
      <w:r w:rsidRPr="00782FA8">
        <w:rPr>
          <w:rStyle w:val="st"/>
          <w:i/>
          <w:lang w:val="en-GB"/>
        </w:rPr>
        <w:t>in-situ</w:t>
      </w:r>
      <w:r w:rsidRPr="00782FA8">
        <w:rPr>
          <w:rStyle w:val="st"/>
          <w:lang w:val="en-GB"/>
        </w:rPr>
        <w:t xml:space="preserve"> sample collected from the reaction vessel after 3 hours of reaction, together with a reference sample. </w:t>
      </w:r>
    </w:p>
    <w:p w:rsidR="00480F0F" w:rsidRDefault="00480F0F" w:rsidP="00480F0F">
      <w:pPr>
        <w:rPr>
          <w:lang w:val="en-GB"/>
        </w:rPr>
      </w:pPr>
    </w:p>
    <w:p w:rsidR="00480F0F" w:rsidRPr="00782FA8" w:rsidRDefault="00480F0F" w:rsidP="00480F0F">
      <w:pPr>
        <w:rPr>
          <w:lang w:val="en-GB"/>
        </w:rPr>
      </w:pPr>
      <w:r w:rsidRPr="00782FA8">
        <w:rPr>
          <w:lang w:val="en-GB"/>
        </w:rPr>
        <w:t>A small sample was withdrawn from the liquid in the reaction vessel after 3 h of reaction. The obtained sample was analysed with FTIR in order to establish its constituents, see Fig. S3. A reference sample consisting o</w:t>
      </w:r>
      <w:bookmarkStart w:id="0" w:name="_GoBack"/>
      <w:bookmarkEnd w:id="0"/>
      <w:r w:rsidRPr="00782FA8">
        <w:rPr>
          <w:lang w:val="en-GB"/>
        </w:rPr>
        <w:t xml:space="preserve">f </w:t>
      </w:r>
      <w:r w:rsidRPr="00782FA8">
        <w:rPr>
          <w:rStyle w:val="st"/>
          <w:lang w:val="en-GB"/>
        </w:rPr>
        <w:t>Mg(OH)(OCH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>)·Mg(OH)</w:t>
      </w:r>
      <w:r w:rsidRPr="00782FA8">
        <w:rPr>
          <w:rStyle w:val="st"/>
          <w:vertAlign w:val="subscript"/>
          <w:lang w:val="en-GB"/>
        </w:rPr>
        <w:t>2</w:t>
      </w:r>
      <w:r w:rsidRPr="00782FA8">
        <w:rPr>
          <w:rStyle w:val="st"/>
          <w:lang w:val="en-GB"/>
        </w:rPr>
        <w:t xml:space="preserve"> was prepared by hydrolysis of Mg(OCH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>)</w:t>
      </w:r>
      <w:r w:rsidRPr="00782FA8">
        <w:rPr>
          <w:rStyle w:val="st"/>
          <w:vertAlign w:val="subscript"/>
          <w:lang w:val="en-GB"/>
        </w:rPr>
        <w:t>2</w:t>
      </w:r>
      <w:r w:rsidRPr="00782FA8">
        <w:rPr>
          <w:rStyle w:val="st"/>
          <w:lang w:val="en-GB"/>
        </w:rPr>
        <w:t xml:space="preserve"> as described by </w:t>
      </w:r>
      <w:proofErr w:type="spellStart"/>
      <w:r w:rsidRPr="00782FA8">
        <w:rPr>
          <w:rStyle w:val="st"/>
          <w:lang w:val="en-GB"/>
        </w:rPr>
        <w:t>Ranjit</w:t>
      </w:r>
      <w:proofErr w:type="spellEnd"/>
      <w:r w:rsidRPr="00782FA8">
        <w:rPr>
          <w:rStyle w:val="st"/>
          <w:lang w:val="en-GB"/>
        </w:rPr>
        <w:t xml:space="preserve"> and </w:t>
      </w:r>
      <w:proofErr w:type="spellStart"/>
      <w:r w:rsidRPr="00782FA8">
        <w:rPr>
          <w:rStyle w:val="st"/>
          <w:lang w:val="en-GB"/>
        </w:rPr>
        <w:t>Klabunde</w:t>
      </w:r>
      <w:proofErr w:type="spellEnd"/>
      <w:r>
        <w:rPr>
          <w:rStyle w:val="st"/>
          <w:lang w:val="en-GB"/>
        </w:rPr>
        <w:t>.</w:t>
      </w:r>
      <w:hyperlink w:anchor="_ENREF_43" w:tooltip="Ranjit, 2005 #1257" w:history="1">
        <w:r w:rsidRPr="00782FA8">
          <w:rPr>
            <w:rStyle w:val="st"/>
            <w:lang w:val="en-GB"/>
          </w:rPr>
          <w:fldChar w:fldCharType="begin"/>
        </w:r>
        <w:r>
          <w:rPr>
            <w:rStyle w:val="st"/>
            <w:lang w:val="en-GB"/>
          </w:rPr>
          <w:instrText xml:space="preserve"> ADDIN EN.CITE &lt;EndNote&gt;&lt;Cite&gt;&lt;Author&gt;Ranjit&lt;/Author&gt;&lt;Year&gt;2005&lt;/Year&gt;&lt;RecNum&gt;1257&lt;/RecNum&gt;&lt;DisplayText&gt;&lt;style face="superscript"&gt;43&lt;/style&gt;&lt;/DisplayText&gt;&lt;record&gt;&lt;rec-number&gt;1257&lt;/rec-number&gt;&lt;foreign-keys&gt;&lt;key app="EN" db-id="p0dv0rxvy2tw2me0p2txxaenr2srae9sfxwd"&gt;1257&lt;/key&gt;&lt;/foreign-keys&gt;&lt;ref-type name="Journal Article"&gt;17&lt;/ref-type&gt;&lt;contributors&gt;&lt;authors&gt;&lt;author&gt;Ranjit, K. T.&lt;/author&gt;&lt;author&gt;Klabunde, K. J.&lt;/author&gt;&lt;/authors&gt;&lt;/contributors&gt;&lt;auth-address&gt;Klabunde, KJ&amp;#xD;Kansas State Univ, Dept Chem, Manhattan, KS 66506 USA&amp;#xD;Kansas State Univ, Dept Chem, Manhattan, KS 66506 USA&lt;/auth-address&gt;&lt;titles&gt;&lt;title&gt;Solvent effects in the hydrolysis of magnesium methoxide, and the production of nanocrystalline magnesium hydroxide. An aid in understanding the formation of porous inorganic materials&lt;/title&gt;&lt;secondary-title&gt;Chemistry of Materials&lt;/secondary-title&gt;&lt;/titles&gt;&lt;periodical&gt;&lt;full-title&gt;Chemistry of Materials&lt;/full-title&gt;&lt;abbr-1&gt;Chem. Mater.&lt;/abbr-1&gt;&lt;/periodical&gt;&lt;pages&gt;65-73&lt;/pages&gt;&lt;volume&gt;17&lt;/volume&gt;&lt;number&gt;1&lt;/number&gt;&lt;keywords&gt;&lt;keyword&gt;mesoporous molecular-sieves&lt;/keyword&gt;&lt;keyword&gt;sol-gel process&lt;/keyword&gt;&lt;keyword&gt;surface-area&lt;/keyword&gt;&lt;keyword&gt;metal-oxides&lt;/keyword&gt;&lt;keyword&gt;mgo&lt;/keyword&gt;&lt;keyword&gt;chemistry&lt;/keyword&gt;&lt;keyword&gt;films&lt;/keyword&gt;&lt;keyword&gt;condensation&lt;/keyword&gt;&lt;keyword&gt;adsorbents&lt;/keyword&gt;&lt;keyword&gt;catalysis&lt;/keyword&gt;&lt;/keywords&gt;&lt;dates&gt;&lt;year&gt;2005&lt;/year&gt;&lt;pub-dates&gt;&lt;date&gt;Jan 11&lt;/date&gt;&lt;/pub-dates&gt;&lt;/dates&gt;&lt;isbn&gt;0897-4756&lt;/isbn&gt;&lt;accession-num&gt;ISI:000226226700012&lt;/accession-num&gt;&lt;urls&gt;&lt;related-urls&gt;&lt;url&gt;&amp;lt;Go to ISI&amp;gt;://000226226700012&lt;/url&gt;&lt;/related-urls&gt;&lt;/urls&gt;&lt;language&gt;English&lt;/language&gt;&lt;/record&gt;&lt;/Cite&gt;&lt;/EndNote&gt;</w:instrText>
        </w:r>
        <w:r w:rsidRPr="00782FA8">
          <w:rPr>
            <w:rStyle w:val="st"/>
            <w:lang w:val="en-GB"/>
          </w:rPr>
          <w:fldChar w:fldCharType="separate"/>
        </w:r>
        <w:r w:rsidR="004515CA">
          <w:rPr>
            <w:rStyle w:val="st"/>
            <w:noProof/>
            <w:vertAlign w:val="superscript"/>
            <w:lang w:val="en-GB"/>
          </w:rPr>
          <w:t>1</w:t>
        </w:r>
        <w:r w:rsidRPr="00782FA8">
          <w:rPr>
            <w:rStyle w:val="st"/>
            <w:lang w:val="en-GB"/>
          </w:rPr>
          <w:fldChar w:fldCharType="end"/>
        </w:r>
      </w:hyperlink>
      <w:r w:rsidRPr="00782FA8">
        <w:rPr>
          <w:rStyle w:val="st"/>
          <w:lang w:val="en-GB"/>
        </w:rPr>
        <w:t xml:space="preserve"> The sharp band at 3740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 xml:space="preserve"> for the reference sample is indicative of isolated –OH groups. Since the spectrum for the </w:t>
      </w:r>
      <w:r w:rsidRPr="00782FA8">
        <w:rPr>
          <w:rStyle w:val="st"/>
          <w:i/>
          <w:lang w:val="en-GB"/>
        </w:rPr>
        <w:t>in situ</w:t>
      </w:r>
      <w:r w:rsidRPr="00782FA8">
        <w:rPr>
          <w:rStyle w:val="st"/>
          <w:lang w:val="en-GB"/>
        </w:rPr>
        <w:t xml:space="preserve">-sample lacks this sharp band, it can be argued that this sample does not contain </w:t>
      </w:r>
      <w:proofErr w:type="gramStart"/>
      <w:r w:rsidRPr="00782FA8">
        <w:rPr>
          <w:rStyle w:val="st"/>
          <w:lang w:val="en-GB"/>
        </w:rPr>
        <w:t>Mg(</w:t>
      </w:r>
      <w:proofErr w:type="gramEnd"/>
      <w:r w:rsidRPr="00782FA8">
        <w:rPr>
          <w:rStyle w:val="st"/>
          <w:lang w:val="en-GB"/>
        </w:rPr>
        <w:t>OH)</w:t>
      </w:r>
      <w:r w:rsidRPr="00782FA8">
        <w:rPr>
          <w:rStyle w:val="st"/>
          <w:vertAlign w:val="subscript"/>
          <w:lang w:val="en-GB"/>
        </w:rPr>
        <w:t>2</w:t>
      </w:r>
      <w:r w:rsidRPr="00782FA8">
        <w:rPr>
          <w:rStyle w:val="st"/>
          <w:lang w:val="en-GB"/>
        </w:rPr>
        <w:t>. The broad band around 3400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 xml:space="preserve"> for both samples are indicative of hydrogen bonded –OH groups, and the sharp bands between 2920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 xml:space="preserve"> and 2790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>, as well as the band at 1100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>, are all indicative of the presence of –OCH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 xml:space="preserve"> groups. The presence of carbonate groups is clear from the bands between 1650 cm</w:t>
      </w:r>
      <w:r w:rsidRPr="00782FA8">
        <w:rPr>
          <w:rStyle w:val="st"/>
          <w:vertAlign w:val="superscript"/>
          <w:lang w:val="en-GB"/>
        </w:rPr>
        <w:t xml:space="preserve">-1 </w:t>
      </w:r>
      <w:r w:rsidRPr="00782FA8">
        <w:rPr>
          <w:rStyle w:val="st"/>
          <w:lang w:val="en-GB"/>
        </w:rPr>
        <w:t>and 1440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>, while the band around 1030 cm</w:t>
      </w:r>
      <w:r w:rsidRPr="00782FA8">
        <w:rPr>
          <w:rStyle w:val="st"/>
          <w:vertAlign w:val="superscript"/>
          <w:lang w:val="en-GB"/>
        </w:rPr>
        <w:t>-1</w:t>
      </w:r>
      <w:r w:rsidRPr="00782FA8">
        <w:rPr>
          <w:rStyle w:val="st"/>
          <w:lang w:val="en-GB"/>
        </w:rPr>
        <w:t xml:space="preserve"> is assigned to the </w:t>
      </w:r>
      <w:proofErr w:type="spellStart"/>
      <w:r w:rsidRPr="00782FA8">
        <w:rPr>
          <w:rStyle w:val="st"/>
          <w:i/>
          <w:lang w:val="en-GB"/>
        </w:rPr>
        <w:t>v</w:t>
      </w:r>
      <w:r w:rsidRPr="00782FA8">
        <w:rPr>
          <w:rStyle w:val="st"/>
          <w:i/>
          <w:vertAlign w:val="subscript"/>
          <w:lang w:val="en-GB"/>
        </w:rPr>
        <w:t>C</w:t>
      </w:r>
      <w:proofErr w:type="spellEnd"/>
      <w:r w:rsidRPr="00782FA8">
        <w:rPr>
          <w:rStyle w:val="st"/>
          <w:i/>
          <w:vertAlign w:val="subscript"/>
          <w:lang w:val="en-GB"/>
        </w:rPr>
        <w:t>-O</w:t>
      </w:r>
      <w:r w:rsidRPr="00782FA8">
        <w:rPr>
          <w:rStyle w:val="st"/>
          <w:lang w:val="en-GB"/>
        </w:rPr>
        <w:t xml:space="preserve"> stretch in the methanol in the sample. The band </w:t>
      </w:r>
      <w:proofErr w:type="gramStart"/>
      <w:r w:rsidRPr="00782FA8">
        <w:rPr>
          <w:rStyle w:val="st"/>
          <w:lang w:val="en-GB"/>
        </w:rPr>
        <w:t>around 540 cm</w:t>
      </w:r>
      <w:r w:rsidRPr="00782FA8">
        <w:rPr>
          <w:rStyle w:val="st"/>
          <w:vertAlign w:val="superscript"/>
          <w:lang w:val="en-GB"/>
        </w:rPr>
        <w:t>-1</w:t>
      </w:r>
      <w:proofErr w:type="gramEnd"/>
      <w:r w:rsidRPr="00782FA8">
        <w:rPr>
          <w:rStyle w:val="st"/>
          <w:lang w:val="en-GB"/>
        </w:rPr>
        <w:t xml:space="preserve"> is indicative of the Mg-O bond. Since the spectrum for the </w:t>
      </w:r>
      <w:r w:rsidRPr="00782FA8">
        <w:rPr>
          <w:rStyle w:val="st"/>
          <w:i/>
          <w:lang w:val="en-GB"/>
        </w:rPr>
        <w:t>in-situ</w:t>
      </w:r>
      <w:r w:rsidRPr="00782FA8">
        <w:rPr>
          <w:rStyle w:val="st"/>
          <w:lang w:val="en-GB"/>
        </w:rPr>
        <w:t xml:space="preserve"> sample shares the characteristics of Mg(OH)(OCH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 xml:space="preserve">) that has been described and well characterised earlier by </w:t>
      </w:r>
      <w:proofErr w:type="spellStart"/>
      <w:r w:rsidRPr="00782FA8">
        <w:rPr>
          <w:rStyle w:val="st"/>
          <w:lang w:val="en-GB"/>
        </w:rPr>
        <w:t>Ranjit</w:t>
      </w:r>
      <w:proofErr w:type="spellEnd"/>
      <w:r w:rsidRPr="00782FA8">
        <w:rPr>
          <w:rStyle w:val="st"/>
          <w:lang w:val="en-GB"/>
        </w:rPr>
        <w:t xml:space="preserve"> and </w:t>
      </w:r>
      <w:proofErr w:type="spellStart"/>
      <w:r w:rsidRPr="00782FA8">
        <w:rPr>
          <w:rStyle w:val="st"/>
          <w:lang w:val="en-GB"/>
        </w:rPr>
        <w:t>Klabunde</w:t>
      </w:r>
      <w:proofErr w:type="spellEnd"/>
      <w:r w:rsidRPr="00782FA8">
        <w:rPr>
          <w:rStyle w:val="st"/>
          <w:lang w:val="en-GB"/>
        </w:rPr>
        <w:t xml:space="preserve">, we believe that one intermediate product in the synthesis of </w:t>
      </w:r>
      <w:proofErr w:type="spellStart"/>
      <w:r w:rsidRPr="00782FA8">
        <w:rPr>
          <w:rStyle w:val="st"/>
          <w:lang w:val="en-GB"/>
        </w:rPr>
        <w:t>Upsalite</w:t>
      </w:r>
      <w:proofErr w:type="spellEnd"/>
      <w:r w:rsidRPr="00782FA8">
        <w:rPr>
          <w:rStyle w:val="st"/>
          <w:lang w:val="en-GB"/>
        </w:rPr>
        <w:t xml:space="preserve"> is indeed the OHMgOCH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 xml:space="preserve"> as described in step 1a of the reaction scheme. </w:t>
      </w:r>
    </w:p>
    <w:p w:rsidR="00480F0F" w:rsidRPr="00782FA8" w:rsidRDefault="00480F0F" w:rsidP="00480F0F">
      <w:pPr>
        <w:rPr>
          <w:lang w:val="en-GB"/>
        </w:rPr>
      </w:pPr>
    </w:p>
    <w:p w:rsidR="00480F0F" w:rsidRPr="00782FA8" w:rsidRDefault="004515CA" w:rsidP="004515CA">
      <w:pPr>
        <w:rPr>
          <w:rStyle w:val="st"/>
          <w:b/>
          <w:lang w:val="en-GB"/>
        </w:rPr>
      </w:pPr>
      <w:r>
        <w:rPr>
          <w:rStyle w:val="st"/>
          <w:b/>
          <w:lang w:val="en-GB"/>
        </w:rPr>
        <w:t>SUPPORTING REFERENCE</w:t>
      </w:r>
    </w:p>
    <w:p w:rsidR="006060DD" w:rsidRDefault="004515CA" w:rsidP="00480F0F">
      <w:r>
        <w:rPr>
          <w:noProof/>
          <w:lang w:val="en-GB"/>
        </w:rPr>
        <w:t xml:space="preserve">1 </w:t>
      </w:r>
      <w:r w:rsidRPr="003F4F67">
        <w:rPr>
          <w:noProof/>
          <w:lang w:val="en-US"/>
        </w:rPr>
        <w:t xml:space="preserve">Ranjit, K. T.; Klabunde, K. J. Solvent Effects in the Hydrolysis of Magnesium Methoxide, and the Production of Nanocrystalline Magnesium Hydroxide. An Aid in Understanding the Formation of Porous Inorganic Materials. </w:t>
      </w:r>
      <w:r w:rsidRPr="005A6904">
        <w:rPr>
          <w:i/>
          <w:noProof/>
        </w:rPr>
        <w:t xml:space="preserve">Chem. Mater. </w:t>
      </w:r>
      <w:r w:rsidRPr="005A6904">
        <w:rPr>
          <w:b/>
          <w:noProof/>
        </w:rPr>
        <w:t>2005,</w:t>
      </w:r>
      <w:r>
        <w:rPr>
          <w:noProof/>
        </w:rPr>
        <w:t xml:space="preserve"> </w:t>
      </w:r>
      <w:r w:rsidRPr="005A6904">
        <w:rPr>
          <w:i/>
          <w:noProof/>
        </w:rPr>
        <w:t>17</w:t>
      </w:r>
      <w:r>
        <w:rPr>
          <w:noProof/>
        </w:rPr>
        <w:t>, 65-73.</w:t>
      </w:r>
    </w:p>
    <w:sectPr w:rsidR="006060DD" w:rsidSect="004515CA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E" w:rsidRDefault="00AA37DE" w:rsidP="00480F0F">
      <w:r>
        <w:separator/>
      </w:r>
    </w:p>
  </w:endnote>
  <w:endnote w:type="continuationSeparator" w:id="0">
    <w:p w:rsidR="00AA37DE" w:rsidRDefault="00AA37DE" w:rsidP="004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4876"/>
      <w:docPartObj>
        <w:docPartGallery w:val="Page Numbers (Bottom of Page)"/>
        <w:docPartUnique/>
      </w:docPartObj>
    </w:sdtPr>
    <w:sdtEndPr/>
    <w:sdtContent>
      <w:p w:rsidR="00480F0F" w:rsidRDefault="00480F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CA">
          <w:rPr>
            <w:noProof/>
          </w:rPr>
          <w:t>1</w:t>
        </w:r>
        <w:r>
          <w:fldChar w:fldCharType="end"/>
        </w:r>
      </w:p>
    </w:sdtContent>
  </w:sdt>
  <w:p w:rsidR="00480F0F" w:rsidRDefault="00480F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E" w:rsidRDefault="00AA37DE" w:rsidP="00480F0F">
      <w:r>
        <w:separator/>
      </w:r>
    </w:p>
  </w:footnote>
  <w:footnote w:type="continuationSeparator" w:id="0">
    <w:p w:rsidR="00AA37DE" w:rsidRDefault="00AA37DE" w:rsidP="004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F"/>
    <w:rsid w:val="00012A46"/>
    <w:rsid w:val="000632BB"/>
    <w:rsid w:val="004515CA"/>
    <w:rsid w:val="00480F0F"/>
    <w:rsid w:val="006060DD"/>
    <w:rsid w:val="00AA37DE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2013-06-09T11:08:00Z</dcterms:created>
  <dcterms:modified xsi:type="dcterms:W3CDTF">2013-06-09T11:08:00Z</dcterms:modified>
</cp:coreProperties>
</file>