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41" w:rsidRPr="005E571B" w:rsidRDefault="00677841" w:rsidP="00677841">
      <w:pPr>
        <w:spacing w:line="360" w:lineRule="auto"/>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Supporting Information</w:t>
      </w:r>
      <w:r w:rsidRPr="005E571B">
        <w:rPr>
          <w:rFonts w:ascii="Times New Roman" w:hAnsi="Times New Roman" w:cs="Times New Roman"/>
          <w:b/>
          <w:color w:val="000000" w:themeColor="text1"/>
        </w:rPr>
        <w:t>: Methods used to adjust counts of deaths for reporting delay</w:t>
      </w:r>
    </w:p>
    <w:p w:rsidR="00677841" w:rsidRPr="005E571B" w:rsidRDefault="00677841" w:rsidP="00677841">
      <w:pPr>
        <w:spacing w:line="360" w:lineRule="auto"/>
        <w:rPr>
          <w:rFonts w:ascii="Times New Roman" w:hAnsi="Times New Roman" w:cs="Times New Roman"/>
          <w:color w:val="000000" w:themeColor="text1"/>
        </w:rPr>
      </w:pPr>
      <w:r w:rsidRPr="005E571B">
        <w:rPr>
          <w:rFonts w:ascii="Times New Roman" w:hAnsi="Times New Roman" w:cs="Times New Roman"/>
          <w:color w:val="000000" w:themeColor="text1"/>
        </w:rPr>
        <w:t xml:space="preserve">The methods used to adjust for reporting delay in this study are similar to those presented by </w:t>
      </w:r>
      <w:proofErr w:type="spellStart"/>
      <w:r w:rsidRPr="005E571B">
        <w:rPr>
          <w:rFonts w:ascii="Times New Roman" w:hAnsi="Times New Roman" w:cs="Times New Roman"/>
          <w:color w:val="000000" w:themeColor="text1"/>
        </w:rPr>
        <w:t>Hardelid</w:t>
      </w:r>
      <w:proofErr w:type="spellEnd"/>
      <w:r w:rsidRPr="005E571B">
        <w:rPr>
          <w:rFonts w:ascii="Times New Roman" w:hAnsi="Times New Roman" w:cs="Times New Roman"/>
          <w:color w:val="000000" w:themeColor="text1"/>
        </w:rPr>
        <w:t xml:space="preserve"> et al</w:t>
      </w:r>
      <w:r w:rsidR="00423295">
        <w:rPr>
          <w:rFonts w:ascii="Times New Roman" w:hAnsi="Times New Roman" w:cs="Times New Roman"/>
          <w:color w:val="000000" w:themeColor="text1"/>
        </w:rPr>
        <w:fldChar w:fldCharType="begin"/>
      </w:r>
      <w:r w:rsidR="00423295">
        <w:rPr>
          <w:rFonts w:ascii="Times New Roman" w:hAnsi="Times New Roman" w:cs="Times New Roman"/>
          <w:color w:val="000000" w:themeColor="text1"/>
        </w:rPr>
        <w:instrText xml:space="preserve"> ADDIN REFMGR.CITE &lt;Refman&gt;&lt;Cite&gt;&lt;Author&gt;Hardelid&lt;/Author&gt;&lt;Year&gt;2011&lt;/Year&gt;&lt;RecNum&gt;16&lt;/RecNum&gt;&lt;IDText&gt;Excess mortality monitoring in England and Wales during the influenza A(H1N1) 2009 pandemic&lt;/IDText&gt;&lt;MDL Ref_Type="Journal"&gt;&lt;Ref_Type&gt;Journal&lt;/Ref_Type&gt;&lt;Ref_ID&gt;16&lt;/Ref_ID&gt;&lt;Title_Primary&gt;Excess mortality monitoring in England and Wales during the influenza A(H1N1) 2009 pandemic&lt;/Title_Primary&gt;&lt;Authors_Primary&gt;Hardelid,P.&lt;/Authors_Primary&gt;&lt;Authors_Primary&gt;Andrews,N.&lt;/Authors_Primary&gt;&lt;Authors_Primary&gt;Pebody,R.&lt;/Authors_Primary&gt;&lt;Date_Primary&gt;2011/9&lt;/Date_Primary&gt;&lt;Keywords&gt;DISEASE&lt;/Keywords&gt;&lt;Keywords&gt;EXCESS MORTALITY&lt;/Keywords&gt;&lt;Keywords&gt;Influenza A&lt;/Keywords&gt;&lt;Keywords&gt;MORTALITY&lt;/Keywords&gt;&lt;Keywords&gt;statistics&lt;/Keywords&gt;&lt;Keywords&gt;SURVEILLANCE&lt;/Keywords&gt;&lt;Keywords&gt;VIRUS&lt;/Keywords&gt;&lt;Keywords&gt;WALES&lt;/Keywords&gt;&lt;Reprint&gt;Not in File&lt;/Reprint&gt;&lt;Start_Page&gt;1431&lt;/Start_Page&gt;&lt;End_Page&gt;1439&lt;/End_Page&gt;&lt;Periodical&gt;Epidemiol Infect&lt;/Periodical&gt;&lt;Volume&gt;139&lt;/Volume&gt;&lt;Issue&gt;9&lt;/Issue&gt;&lt;ISSN_ISBN&gt;0950-2688&lt;/ISSN_ISBN&gt;&lt;Address&gt;Hlth Protect Agcy, Ctr Infect, Stat Unit, London, England&amp;#xA;Hlth Protect Agcy, Ctr Infect, Immunisat Dept, London, England&amp;#xA;Hlth Protect Agcy, Ctr Infect, Hepatitis &amp;amp; Blood Safety Dept, London, England&amp;#xA;Hlth Protect Agcy, Ctr Infect, Dept Resp Dis, London, England&lt;/Address&gt;&lt;Web_URL&gt;ISI:000294145300019&lt;/Web_URL&gt;&lt;ZZ_JournalFull&gt;&lt;f name="System"&gt;Epidemiol Infect&lt;/f&gt;&lt;/ZZ_JournalFull&gt;&lt;ZZ_WorkformID&gt;1&lt;/ZZ_WorkformID&gt;&lt;/MDL&gt;&lt;/Cite&gt;&lt;/Refman&gt;</w:instrText>
      </w:r>
      <w:r w:rsidR="00423295">
        <w:rPr>
          <w:rFonts w:ascii="Times New Roman" w:hAnsi="Times New Roman" w:cs="Times New Roman"/>
          <w:color w:val="000000" w:themeColor="text1"/>
        </w:rPr>
        <w:fldChar w:fldCharType="separate"/>
      </w:r>
      <w:r w:rsidR="00423295" w:rsidRPr="00423295">
        <w:rPr>
          <w:rFonts w:ascii="Arial" w:hAnsi="Arial" w:cs="Arial"/>
          <w:noProof/>
          <w:color w:val="000000" w:themeColor="text1"/>
        </w:rPr>
        <w:t>[</w:t>
      </w:r>
      <w:r w:rsidR="00423295">
        <w:rPr>
          <w:rFonts w:ascii="Times New Roman" w:hAnsi="Times New Roman" w:cs="Times New Roman"/>
          <w:noProof/>
          <w:color w:val="000000" w:themeColor="text1"/>
        </w:rPr>
        <w:t>1</w:t>
      </w:r>
      <w:r w:rsidR="00423295" w:rsidRPr="00423295">
        <w:rPr>
          <w:rFonts w:ascii="Arial" w:hAnsi="Arial" w:cs="Arial"/>
          <w:noProof/>
          <w:color w:val="000000" w:themeColor="text1"/>
        </w:rPr>
        <w:t>]</w:t>
      </w:r>
      <w:r w:rsidR="00423295">
        <w:rPr>
          <w:rFonts w:ascii="Times New Roman" w:hAnsi="Times New Roman" w:cs="Times New Roman"/>
          <w:color w:val="000000" w:themeColor="text1"/>
        </w:rPr>
        <w:fldChar w:fldCharType="end"/>
      </w:r>
      <w:r w:rsidRPr="005E571B">
        <w:rPr>
          <w:rFonts w:ascii="Times New Roman" w:hAnsi="Times New Roman" w:cs="Times New Roman"/>
          <w:color w:val="000000" w:themeColor="text1"/>
        </w:rPr>
        <w:t xml:space="preserve"> and Green et al</w:t>
      </w:r>
      <w:r w:rsidR="00423295">
        <w:rPr>
          <w:rFonts w:ascii="Times New Roman" w:hAnsi="Times New Roman" w:cs="Times New Roman"/>
          <w:color w:val="000000" w:themeColor="text1"/>
        </w:rPr>
        <w:fldChar w:fldCharType="begin"/>
      </w:r>
      <w:r w:rsidR="00423295">
        <w:rPr>
          <w:rFonts w:ascii="Times New Roman" w:hAnsi="Times New Roman" w:cs="Times New Roman"/>
          <w:color w:val="000000" w:themeColor="text1"/>
        </w:rPr>
        <w:instrText xml:space="preserve"> ADDIN REFMGR.CITE &lt;Refman&gt;&lt;Cite&gt;&lt;Author&gt;Green&lt;/Author&gt;&lt;Year&gt;2012&lt;/Year&gt;&lt;RecNum&gt;35&lt;/RecNum&gt;&lt;IDText&gt;Rapid estimation of excess mortality: nowcasting during the heatwave alert in England and Wales in June 2011&lt;/IDText&gt;&lt;MDL Ref_Type="Journal"&gt;&lt;Ref_Type&gt;Journal&lt;/Ref_Type&gt;&lt;Ref_ID&gt;35&lt;/Ref_ID&gt;&lt;Title_Primary&gt;Rapid estimation of excess mortality: nowcasting during the heatwave alert in England and Wales in June 2011&lt;/Title_Primary&gt;&lt;Authors_Primary&gt;Green,H.K.&lt;/Authors_Primary&gt;&lt;Authors_Primary&gt;Andrews,N.J.&lt;/Authors_Primary&gt;&lt;Authors_Primary&gt;Bickler,G.&lt;/Authors_Primary&gt;&lt;Authors_Primary&gt;Pebody,R.G.&lt;/Authors_Primary&gt;&lt;Date_Primary&gt;2012/10&lt;/Date_Primary&gt;&lt;Keywords&gt;DEATH&lt;/Keywords&gt;&lt;Keywords&gt;DISEASE&lt;/Keywords&gt;&lt;Keywords&gt;EXCESS MORTALITY&lt;/Keywords&gt;&lt;Keywords&gt;HEALTH&lt;/Keywords&gt;&lt;Keywords&gt;MORTALITY&lt;/Keywords&gt;&lt;Keywords&gt;REGION&lt;/Keywords&gt;&lt;Keywords&gt;SURVEILLANCE&lt;/Keywords&gt;&lt;Keywords&gt;WALES&lt;/Keywords&gt;&lt;Reprint&gt;Not in File&lt;/Reprint&gt;&lt;Start_Page&gt;866&lt;/Start_Page&gt;&lt;End_Page&gt;868&lt;/End_Page&gt;&lt;Periodical&gt;J.Epidemiol.Community Health&lt;/Periodical&gt;&lt;Volume&gt;66&lt;/Volume&gt;&lt;Issue&gt;10&lt;/Issue&gt;&lt;User_Def_5&gt;PMC3433219&lt;/User_Def_5&gt;&lt;Misc_3&gt;jech-2011-200962 [pii];10.1136/jech-2011-200962 [doi]&lt;/Misc_3&gt;&lt;Address&gt;Department of Respiratory Diseases, Health Protection Agency, 61 Colindale Avenue, London NW9 5EQ, UK; richard.pebody@hpa.org.uk&lt;/Address&gt;&lt;Web_URL&gt;PM:22766783&lt;/Web_URL&gt;&lt;ZZ_JournalStdAbbrev&gt;&lt;f name="System"&gt;J.Epidemiol.Community Health&lt;/f&gt;&lt;/ZZ_JournalStdAbbrev&gt;&lt;ZZ_WorkformID&gt;1&lt;/ZZ_WorkformID&gt;&lt;/MDL&gt;&lt;/Cite&gt;&lt;/Refman&gt;</w:instrText>
      </w:r>
      <w:r w:rsidR="00423295">
        <w:rPr>
          <w:rFonts w:ascii="Times New Roman" w:hAnsi="Times New Roman" w:cs="Times New Roman"/>
          <w:color w:val="000000" w:themeColor="text1"/>
        </w:rPr>
        <w:fldChar w:fldCharType="separate"/>
      </w:r>
      <w:r w:rsidR="00423295" w:rsidRPr="00423295">
        <w:rPr>
          <w:rFonts w:ascii="Arial" w:hAnsi="Arial" w:cs="Arial"/>
          <w:noProof/>
          <w:color w:val="000000" w:themeColor="text1"/>
        </w:rPr>
        <w:t>[</w:t>
      </w:r>
      <w:r w:rsidR="00423295">
        <w:rPr>
          <w:rFonts w:ascii="Times New Roman" w:hAnsi="Times New Roman" w:cs="Times New Roman"/>
          <w:noProof/>
          <w:color w:val="000000" w:themeColor="text1"/>
        </w:rPr>
        <w:t>2</w:t>
      </w:r>
      <w:r w:rsidR="00423295" w:rsidRPr="00423295">
        <w:rPr>
          <w:rFonts w:ascii="Arial" w:hAnsi="Arial" w:cs="Arial"/>
          <w:noProof/>
          <w:color w:val="000000" w:themeColor="text1"/>
        </w:rPr>
        <w:t>]</w:t>
      </w:r>
      <w:r w:rsidR="00423295">
        <w:rPr>
          <w:rFonts w:ascii="Times New Roman" w:hAnsi="Times New Roman" w:cs="Times New Roman"/>
          <w:color w:val="000000" w:themeColor="text1"/>
        </w:rPr>
        <w:fldChar w:fldCharType="end"/>
      </w:r>
      <w:r w:rsidRPr="005E571B">
        <w:rPr>
          <w:rFonts w:ascii="Times New Roman" w:hAnsi="Times New Roman" w:cs="Times New Roman"/>
          <w:color w:val="000000" w:themeColor="text1"/>
        </w:rPr>
        <w:t xml:space="preserve">. The observed proportion of deaths registered within </w:t>
      </w:r>
      <w:proofErr w:type="spellStart"/>
      <w:r w:rsidRPr="005E571B">
        <w:rPr>
          <w:rFonts w:ascii="Times New Roman" w:hAnsi="Times New Roman" w:cs="Times New Roman"/>
          <w:i/>
          <w:color w:val="000000" w:themeColor="text1"/>
        </w:rPr>
        <w:t>i</w:t>
      </w:r>
      <w:proofErr w:type="spellEnd"/>
      <w:r w:rsidRPr="005E571B">
        <w:rPr>
          <w:rFonts w:ascii="Times New Roman" w:hAnsi="Times New Roman" w:cs="Times New Roman"/>
          <w:color w:val="000000" w:themeColor="text1"/>
        </w:rPr>
        <w:t xml:space="preserve"> months of death </w:t>
      </w:r>
      <w:r w:rsidRPr="005E571B">
        <w:rPr>
          <w:rFonts w:ascii="Times New Roman" w:hAnsi="Times New Roman" w:cs="Times New Roman"/>
          <w:i/>
          <w:color w:val="000000" w:themeColor="text1"/>
        </w:rPr>
        <w:t>p</w:t>
      </w:r>
      <w:r w:rsidRPr="005E571B">
        <w:rPr>
          <w:rFonts w:ascii="Times New Roman" w:hAnsi="Times New Roman" w:cs="Times New Roman"/>
          <w:i/>
          <w:color w:val="000000" w:themeColor="text1"/>
          <w:vertAlign w:val="subscript"/>
        </w:rPr>
        <w:t>i</w:t>
      </w:r>
      <w:r w:rsidRPr="005E571B">
        <w:rPr>
          <w:rFonts w:ascii="Times New Roman" w:hAnsi="Times New Roman" w:cs="Times New Roman"/>
          <w:color w:val="000000" w:themeColor="text1"/>
        </w:rPr>
        <w:t xml:space="preserve">, was estimated according to age group (28 days-364 days, one to four, five to nine, 10 to 14 and 15 to 18 years), gender and underlying cause of death, using deaths registered between 2006 and 2010 for England and Wales, and 1997 and 2010 for Northern Ireland. </w:t>
      </w:r>
      <w:proofErr w:type="gramStart"/>
      <w:r w:rsidRPr="005E571B">
        <w:rPr>
          <w:rFonts w:ascii="Times New Roman" w:hAnsi="Times New Roman" w:cs="Times New Roman"/>
          <w:i/>
          <w:color w:val="000000" w:themeColor="text1"/>
        </w:rPr>
        <w:t>p</w:t>
      </w:r>
      <w:r w:rsidRPr="005E571B">
        <w:rPr>
          <w:rFonts w:ascii="Times New Roman" w:hAnsi="Times New Roman" w:cs="Times New Roman"/>
          <w:i/>
          <w:color w:val="000000" w:themeColor="text1"/>
          <w:vertAlign w:val="subscript"/>
        </w:rPr>
        <w:t>i</w:t>
      </w:r>
      <w:proofErr w:type="gramEnd"/>
      <w:r w:rsidRPr="005E571B">
        <w:rPr>
          <w:rFonts w:ascii="Times New Roman" w:hAnsi="Times New Roman" w:cs="Times New Roman"/>
          <w:color w:val="000000" w:themeColor="text1"/>
        </w:rPr>
        <w:t xml:space="preserve"> therefore represents the  proportion of deaths reported with a particular number of months’ delay. An example of </w:t>
      </w:r>
      <w:r w:rsidRPr="005E571B">
        <w:rPr>
          <w:rFonts w:ascii="Times New Roman" w:hAnsi="Times New Roman" w:cs="Times New Roman"/>
          <w:i/>
          <w:color w:val="000000" w:themeColor="text1"/>
        </w:rPr>
        <w:t>p</w:t>
      </w:r>
      <w:r w:rsidRPr="005E571B">
        <w:rPr>
          <w:rFonts w:ascii="Times New Roman" w:hAnsi="Times New Roman" w:cs="Times New Roman"/>
          <w:i/>
          <w:color w:val="000000" w:themeColor="text1"/>
          <w:vertAlign w:val="subscript"/>
        </w:rPr>
        <w:t>i</w:t>
      </w:r>
      <w:r w:rsidRPr="005E571B">
        <w:rPr>
          <w:rFonts w:ascii="Times New Roman" w:hAnsi="Times New Roman" w:cs="Times New Roman"/>
          <w:color w:val="000000" w:themeColor="text1"/>
        </w:rPr>
        <w:t xml:space="preserve"> is demonstrated in Figure </w:t>
      </w:r>
      <w:r w:rsidR="00440EC9">
        <w:rPr>
          <w:rFonts w:ascii="Times New Roman" w:hAnsi="Times New Roman" w:cs="Times New Roman"/>
          <w:color w:val="000000" w:themeColor="text1"/>
        </w:rPr>
        <w:t>S</w:t>
      </w:r>
      <w:r w:rsidRPr="005E571B">
        <w:rPr>
          <w:rFonts w:ascii="Times New Roman" w:hAnsi="Times New Roman" w:cs="Times New Roman"/>
          <w:color w:val="000000" w:themeColor="text1"/>
        </w:rPr>
        <w:t xml:space="preserve">1 for England and Wales and Northern Ireland, for deaths in children aged 10 to 18 years where the death was due to an injury. The proportion of deaths reported by month since occurrence </w:t>
      </w:r>
      <w:r w:rsidRPr="005E571B">
        <w:rPr>
          <w:rFonts w:ascii="Times New Roman" w:eastAsiaTheme="minorEastAsia" w:hAnsi="Times New Roman" w:cs="Times New Roman"/>
          <w:color w:val="000000" w:themeColor="text1"/>
        </w:rPr>
        <w:t xml:space="preserve">was assumed to be the same in England and Wales since they share death reporting systems. </w:t>
      </w:r>
      <w:r w:rsidRPr="005E571B">
        <w:rPr>
          <w:rFonts w:ascii="Times New Roman" w:hAnsi="Times New Roman" w:cs="Times New Roman"/>
          <w:color w:val="000000" w:themeColor="text1"/>
        </w:rPr>
        <w:t xml:space="preserve">  </w:t>
      </w:r>
    </w:p>
    <w:p w:rsidR="00677841" w:rsidRPr="005E571B" w:rsidRDefault="00677841" w:rsidP="00677841">
      <w:pPr>
        <w:spacing w:after="0" w:line="240" w:lineRule="auto"/>
        <w:rPr>
          <w:rFonts w:ascii="Times New Roman" w:hAnsi="Times New Roman" w:cs="Times New Roman"/>
          <w:i/>
          <w:color w:val="000000" w:themeColor="text1"/>
        </w:rPr>
      </w:pPr>
    </w:p>
    <w:p w:rsidR="00677841" w:rsidRPr="005E571B" w:rsidRDefault="00677841" w:rsidP="00677841">
      <w:pPr>
        <w:spacing w:line="360" w:lineRule="auto"/>
        <w:rPr>
          <w:rFonts w:ascii="Times New Roman" w:hAnsi="Times New Roman" w:cs="Times New Roman"/>
          <w:color w:val="000000" w:themeColor="text1"/>
        </w:rPr>
      </w:pPr>
      <w:r w:rsidRPr="005E571B">
        <w:rPr>
          <w:rFonts w:ascii="Times New Roman" w:hAnsi="Times New Roman" w:cs="Times New Roman"/>
          <w:color w:val="000000" w:themeColor="text1"/>
        </w:rPr>
        <w:t xml:space="preserve">We assumed all deaths had been reported within three years for England and Wales, and five years in Northern Ireland. The adjusted count of deaths occurring in a particular month </w:t>
      </w:r>
      <w:proofErr w:type="spellStart"/>
      <w:r w:rsidRPr="005E571B">
        <w:rPr>
          <w:rFonts w:ascii="Times New Roman" w:hAnsi="Times New Roman" w:cs="Times New Roman"/>
          <w:i/>
          <w:color w:val="000000" w:themeColor="text1"/>
        </w:rPr>
        <w:t>i</w:t>
      </w:r>
      <w:proofErr w:type="spellEnd"/>
      <w:r w:rsidRPr="005E571B">
        <w:rPr>
          <w:rFonts w:ascii="Times New Roman" w:hAnsi="Times New Roman" w:cs="Times New Roman"/>
          <w:color w:val="000000" w:themeColor="text1"/>
        </w:rPr>
        <w:t xml:space="preserve"> (</w:t>
      </w:r>
      <w:proofErr w:type="spellStart"/>
      <w:r w:rsidRPr="005E571B">
        <w:rPr>
          <w:rFonts w:ascii="Times New Roman" w:hAnsi="Times New Roman" w:cs="Times New Roman"/>
          <w:i/>
          <w:color w:val="000000" w:themeColor="text1"/>
        </w:rPr>
        <w:t>adj_count</w:t>
      </w:r>
      <w:r w:rsidRPr="005E571B">
        <w:rPr>
          <w:rFonts w:ascii="Times New Roman" w:hAnsi="Times New Roman" w:cs="Times New Roman"/>
          <w:i/>
          <w:color w:val="000000" w:themeColor="text1"/>
          <w:vertAlign w:val="subscript"/>
        </w:rPr>
        <w:t>i</w:t>
      </w:r>
      <w:proofErr w:type="spellEnd"/>
      <w:r w:rsidRPr="005E571B">
        <w:rPr>
          <w:rFonts w:ascii="Times New Roman" w:hAnsi="Times New Roman" w:cs="Times New Roman"/>
          <w:color w:val="000000" w:themeColor="text1"/>
        </w:rPr>
        <w:t xml:space="preserve">) can be estimated as: </w:t>
      </w:r>
    </w:p>
    <w:p w:rsidR="00677841" w:rsidRPr="005E571B" w:rsidRDefault="00C81D34" w:rsidP="00677841">
      <w:pPr>
        <w:spacing w:line="360" w:lineRule="auto"/>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adj_count</m:t>
            </m:r>
          </m:e>
          <m:sub>
            <m:r>
              <w:rPr>
                <w:rFonts w:ascii="Cambria Math" w:hAnsi="Cambria Math" w:cs="Times New Roman"/>
                <w:color w:val="000000" w:themeColor="text1"/>
              </w:rPr>
              <m:t>i</m:t>
            </m:r>
          </m:sub>
        </m:sSub>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obs_count</m:t>
                </m:r>
              </m:e>
              <m:sub>
                <m:r>
                  <w:rPr>
                    <w:rFonts w:ascii="Cambria Math" w:hAnsi="Cambria Math" w:cs="Times New Roman"/>
                    <w:color w:val="000000" w:themeColor="text1"/>
                  </w:rPr>
                  <m:t>i</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den>
        </m:f>
      </m:oMath>
      <w:r w:rsidR="00677841" w:rsidRPr="005E571B">
        <w:rPr>
          <w:rFonts w:ascii="Times New Roman" w:eastAsiaTheme="minorEastAsia" w:hAnsi="Times New Roman" w:cs="Times New Roman"/>
          <w:color w:val="000000" w:themeColor="text1"/>
        </w:rPr>
        <w:t xml:space="preserve">, </w:t>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t>Eq. 1</w:t>
      </w:r>
    </w:p>
    <w:p w:rsidR="00677841" w:rsidRPr="005E571B" w:rsidRDefault="00677841" w:rsidP="00677841">
      <w:pPr>
        <w:spacing w:line="360" w:lineRule="auto"/>
        <w:rPr>
          <w:rFonts w:ascii="Times New Roman" w:eastAsiaTheme="minorEastAsia" w:hAnsi="Times New Roman" w:cs="Times New Roman"/>
          <w:color w:val="000000" w:themeColor="text1"/>
        </w:rPr>
      </w:pPr>
      <w:proofErr w:type="gramStart"/>
      <w:r w:rsidRPr="005E571B">
        <w:rPr>
          <w:rFonts w:ascii="Times New Roman" w:eastAsiaTheme="minorEastAsia" w:hAnsi="Times New Roman" w:cs="Times New Roman"/>
          <w:color w:val="000000" w:themeColor="text1"/>
        </w:rPr>
        <w:t>where</w:t>
      </w:r>
      <w:proofErr w:type="gramEnd"/>
      <w:r w:rsidRPr="005E571B">
        <w:rPr>
          <w:rFonts w:ascii="Times New Roman" w:eastAsiaTheme="minorEastAsia" w:hAnsi="Times New Roman" w:cs="Times New Roman"/>
          <w:color w:val="000000" w:themeColor="text1"/>
        </w:rPr>
        <w:t xml:space="preserve"> </w:t>
      </w:r>
      <w:proofErr w:type="spellStart"/>
      <w:r w:rsidRPr="005E571B">
        <w:rPr>
          <w:rFonts w:ascii="Times New Roman" w:eastAsiaTheme="minorEastAsia" w:hAnsi="Times New Roman" w:cs="Times New Roman"/>
          <w:i/>
          <w:color w:val="000000" w:themeColor="text1"/>
        </w:rPr>
        <w:t>obs_count</w:t>
      </w:r>
      <w:r w:rsidRPr="005E571B">
        <w:rPr>
          <w:rFonts w:ascii="Times New Roman" w:eastAsiaTheme="minorEastAsia" w:hAnsi="Times New Roman" w:cs="Times New Roman"/>
          <w:i/>
          <w:color w:val="000000" w:themeColor="text1"/>
          <w:vertAlign w:val="subscript"/>
        </w:rPr>
        <w:t>i</w:t>
      </w:r>
      <w:proofErr w:type="spellEnd"/>
      <w:r w:rsidRPr="005E571B">
        <w:rPr>
          <w:rFonts w:ascii="Times New Roman" w:eastAsiaTheme="minorEastAsia" w:hAnsi="Times New Roman" w:cs="Times New Roman"/>
          <w:color w:val="000000" w:themeColor="text1"/>
        </w:rPr>
        <w:t xml:space="preserve"> is the observed count of deaths. The monthly adjusted counts were then aggregated into years and time periods. To adjust confidence intervals for the increased uncertainty incurred by reporting delay, standard errors were inflated using the following method</w:t>
      </w:r>
    </w:p>
    <w:p w:rsidR="00677841" w:rsidRPr="005E571B" w:rsidRDefault="00677841" w:rsidP="00677841">
      <w:pPr>
        <w:spacing w:line="360" w:lineRule="auto"/>
        <w:rPr>
          <w:rFonts w:ascii="Times New Roman" w:eastAsiaTheme="minorEastAsia" w:hAnsi="Times New Roman" w:cs="Times New Roman"/>
          <w:color w:val="000000" w:themeColor="text1"/>
        </w:rPr>
      </w:pPr>
      <m:oMath>
        <m:r>
          <w:rPr>
            <w:rFonts w:ascii="Cambria Math" w:eastAsiaTheme="minorEastAsia" w:hAnsi="Cambria Math" w:cs="Times New Roman"/>
            <w:color w:val="000000" w:themeColor="text1"/>
          </w:rPr>
          <m:t>95%CI=</m:t>
        </m:r>
        <m:func>
          <m:funcPr>
            <m:ctrlPr>
              <w:rPr>
                <w:rFonts w:ascii="Cambria Math" w:eastAsiaTheme="minorEastAsia" w:hAnsi="Cambria Math" w:cs="Times New Roman"/>
                <w:i/>
                <w:color w:val="000000" w:themeColor="text1"/>
              </w:rPr>
            </m:ctrlPr>
          </m:funcPr>
          <m:fName>
            <m:r>
              <m:rPr>
                <m:sty m:val="p"/>
              </m:rPr>
              <w:rPr>
                <w:rFonts w:ascii="Cambria Math" w:eastAsiaTheme="minorEastAsia" w:hAnsi="Cambria Math" w:cs="Times New Roman"/>
                <w:color w:val="000000" w:themeColor="text1"/>
              </w:rPr>
              <m:t>exp</m:t>
            </m:r>
          </m:fName>
          <m:e>
            <m:d>
              <m:dPr>
                <m:ctrlPr>
                  <w:rPr>
                    <w:rFonts w:ascii="Cambria Math" w:eastAsiaTheme="minorEastAsia" w:hAnsi="Cambria Math" w:cs="Times New Roman"/>
                    <w:i/>
                    <w:color w:val="000000" w:themeColor="text1"/>
                  </w:rPr>
                </m:ctrlPr>
              </m:dPr>
              <m:e>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log</m:t>
                    </m:r>
                  </m:e>
                  <m:sub>
                    <m:r>
                      <w:rPr>
                        <w:rFonts w:ascii="Cambria Math" w:eastAsiaTheme="minorEastAsia" w:hAnsi="Cambria Math" w:cs="Times New Roman"/>
                        <w:color w:val="000000" w:themeColor="text1"/>
                      </w:rPr>
                      <m:t>e</m:t>
                    </m:r>
                  </m:sub>
                </m:sSub>
                <m:d>
                  <m:dPr>
                    <m:ctrlPr>
                      <w:rPr>
                        <w:rFonts w:ascii="Cambria Math" w:eastAsiaTheme="minorEastAsia"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adj</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 xml:space="preserve">0.975 </m:t>
                    </m:r>
                  </m:sub>
                </m:sSub>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obs_count</m:t>
                        </m:r>
                      </m:e>
                    </m:rad>
                  </m:den>
                </m:f>
              </m:e>
            </m:d>
          </m:e>
        </m:func>
      </m:oMath>
      <w:r w:rsidRPr="005E571B">
        <w:rPr>
          <w:rFonts w:ascii="Times New Roman" w:eastAsiaTheme="minorEastAsia" w:hAnsi="Times New Roman" w:cs="Times New Roman"/>
          <w:color w:val="000000" w:themeColor="text1"/>
        </w:rPr>
        <w:tab/>
      </w:r>
      <w:r w:rsidRPr="005E571B">
        <w:rPr>
          <w:rFonts w:ascii="Times New Roman" w:eastAsiaTheme="minorEastAsia" w:hAnsi="Times New Roman" w:cs="Times New Roman"/>
          <w:color w:val="000000" w:themeColor="text1"/>
        </w:rPr>
        <w:tab/>
      </w:r>
      <w:r w:rsidRPr="005E571B">
        <w:rPr>
          <w:rFonts w:ascii="Times New Roman" w:eastAsiaTheme="minorEastAsia" w:hAnsi="Times New Roman" w:cs="Times New Roman"/>
          <w:color w:val="000000" w:themeColor="text1"/>
        </w:rPr>
        <w:tab/>
      </w:r>
      <w:r w:rsidRPr="005E571B">
        <w:rPr>
          <w:rFonts w:ascii="Times New Roman" w:eastAsiaTheme="minorEastAsia" w:hAnsi="Times New Roman" w:cs="Times New Roman"/>
          <w:color w:val="000000" w:themeColor="text1"/>
        </w:rPr>
        <w:tab/>
      </w:r>
      <w:r w:rsidRPr="005E571B">
        <w:rPr>
          <w:rFonts w:ascii="Times New Roman" w:eastAsiaTheme="minorEastAsia" w:hAnsi="Times New Roman" w:cs="Times New Roman"/>
          <w:color w:val="000000" w:themeColor="text1"/>
        </w:rPr>
        <w:tab/>
      </w:r>
      <w:r w:rsidRPr="005E571B">
        <w:rPr>
          <w:rFonts w:ascii="Times New Roman" w:eastAsiaTheme="minorEastAsia" w:hAnsi="Times New Roman" w:cs="Times New Roman"/>
          <w:color w:val="000000" w:themeColor="text1"/>
        </w:rPr>
        <w:tab/>
        <w:t xml:space="preserve">Eq. 2 </w:t>
      </w:r>
    </w:p>
    <w:p w:rsidR="00677841" w:rsidRPr="005E571B" w:rsidRDefault="00677841" w:rsidP="00677841">
      <w:pPr>
        <w:spacing w:line="360" w:lineRule="auto"/>
        <w:rPr>
          <w:rFonts w:ascii="Times New Roman" w:eastAsiaTheme="minorEastAsia" w:hAnsi="Times New Roman" w:cs="Times New Roman"/>
          <w:color w:val="000000" w:themeColor="text1"/>
        </w:rPr>
      </w:pPr>
      <w:r w:rsidRPr="005E571B">
        <w:rPr>
          <w:rFonts w:ascii="Times New Roman" w:eastAsiaTheme="minorEastAsia" w:hAnsi="Times New Roman" w:cs="Times New Roman"/>
          <w:color w:val="000000" w:themeColor="text1"/>
        </w:rPr>
        <w:t>Where</w:t>
      </w:r>
      <w:r w:rsidRPr="005E571B">
        <w:rPr>
          <w:rFonts w:ascii="Times New Roman" w:eastAsiaTheme="minorEastAsia" w:hAnsi="Times New Roman" w:cs="Times New Roman"/>
          <w:i/>
          <w:color w:val="000000" w:themeColor="text1"/>
        </w:rPr>
        <w:t xml:space="preserve"> </w:t>
      </w:r>
      <w:proofErr w:type="spellStart"/>
      <w:r w:rsidRPr="005E571B">
        <w:rPr>
          <w:rFonts w:ascii="Times New Roman" w:eastAsiaTheme="minorEastAsia" w:hAnsi="Times New Roman" w:cs="Times New Roman"/>
          <w:i/>
          <w:color w:val="000000" w:themeColor="text1"/>
        </w:rPr>
        <w:t>λ</w:t>
      </w:r>
      <w:r w:rsidRPr="005E571B">
        <w:rPr>
          <w:rFonts w:ascii="Times New Roman" w:eastAsiaTheme="minorEastAsia" w:hAnsi="Times New Roman" w:cs="Times New Roman"/>
          <w:i/>
          <w:color w:val="000000" w:themeColor="text1"/>
          <w:vertAlign w:val="subscript"/>
        </w:rPr>
        <w:t>adj</w:t>
      </w:r>
      <w:proofErr w:type="spellEnd"/>
      <w:r w:rsidRPr="005E571B">
        <w:rPr>
          <w:rFonts w:ascii="Times New Roman" w:eastAsiaTheme="minorEastAsia" w:hAnsi="Times New Roman" w:cs="Times New Roman"/>
          <w:color w:val="000000" w:themeColor="text1"/>
        </w:rPr>
        <w:t xml:space="preserve"> is the unadjusted mortality rate, </w:t>
      </w:r>
      <w:r w:rsidRPr="005E571B">
        <w:rPr>
          <w:rFonts w:ascii="Times New Roman" w:eastAsiaTheme="minorEastAsia" w:hAnsi="Times New Roman" w:cs="Times New Roman"/>
          <w:i/>
          <w:color w:val="000000" w:themeColor="text1"/>
        </w:rPr>
        <w:t xml:space="preserve">z </w:t>
      </w:r>
      <w:r w:rsidRPr="005E571B">
        <w:rPr>
          <w:rFonts w:ascii="Times New Roman" w:eastAsiaTheme="minorEastAsia" w:hAnsi="Times New Roman" w:cs="Times New Roman"/>
          <w:color w:val="000000" w:themeColor="text1"/>
        </w:rPr>
        <w:t xml:space="preserve">is the area under the curve of the standard normal distribution, and </w:t>
      </w:r>
      <w:proofErr w:type="spellStart"/>
      <w:r w:rsidRPr="005E571B">
        <w:rPr>
          <w:rFonts w:ascii="Times New Roman" w:eastAsiaTheme="minorEastAsia" w:hAnsi="Times New Roman" w:cs="Times New Roman"/>
          <w:i/>
          <w:color w:val="000000" w:themeColor="text1"/>
        </w:rPr>
        <w:t>obs_count</w:t>
      </w:r>
      <w:proofErr w:type="spellEnd"/>
      <w:r w:rsidRPr="005E571B">
        <w:rPr>
          <w:rFonts w:ascii="Times New Roman" w:eastAsiaTheme="minorEastAsia" w:hAnsi="Times New Roman" w:cs="Times New Roman"/>
          <w:color w:val="000000" w:themeColor="text1"/>
        </w:rPr>
        <w:t xml:space="preserve"> is the unadjusted count. To calculate confidence intervals for a difference </w:t>
      </w:r>
      <w:proofErr w:type="gramStart"/>
      <w:r w:rsidRPr="005E571B">
        <w:rPr>
          <w:rFonts w:ascii="Times New Roman" w:eastAsiaTheme="minorEastAsia" w:hAnsi="Times New Roman" w:cs="Times New Roman"/>
          <w:color w:val="000000" w:themeColor="text1"/>
        </w:rPr>
        <w:t>in</w:t>
      </w:r>
      <w:proofErr w:type="gramEnd"/>
      <w:r w:rsidRPr="005E571B">
        <w:rPr>
          <w:rFonts w:ascii="Times New Roman" w:eastAsiaTheme="minorEastAsia" w:hAnsi="Times New Roman" w:cs="Times New Roman"/>
          <w:color w:val="000000" w:themeColor="text1"/>
        </w:rPr>
        <w:t xml:space="preserve"> rate ratios based on adjusted counts, the following formula was used:</w:t>
      </w:r>
    </w:p>
    <w:p w:rsidR="00677841" w:rsidRPr="005E571B" w:rsidRDefault="00C81D34" w:rsidP="00677841">
      <w:pPr>
        <w:spacing w:line="360" w:lineRule="auto"/>
        <w:rPr>
          <w:rFonts w:ascii="Times New Roman" w:eastAsiaTheme="minorEastAsia" w:hAnsi="Times New Roman" w:cs="Times New Roman"/>
          <w:color w:val="000000" w:themeColor="text1"/>
        </w:rPr>
      </w:pPr>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95%CI</m:t>
            </m:r>
          </m:e>
          <m:sub>
            <m:r>
              <w:rPr>
                <w:rFonts w:ascii="Cambria Math" w:eastAsiaTheme="minorEastAsia" w:hAnsi="Cambria Math" w:cs="Times New Roman"/>
                <w:color w:val="000000" w:themeColor="text1"/>
              </w:rPr>
              <m:t>IRR</m:t>
            </m:r>
          </m:sub>
        </m:sSub>
        <m:r>
          <w:rPr>
            <w:rFonts w:ascii="Cambria Math" w:eastAsiaTheme="minorEastAsia" w:hAnsi="Cambria Math" w:cs="Times New Roman"/>
            <w:color w:val="000000" w:themeColor="text1"/>
          </w:rPr>
          <m:t>=</m:t>
        </m:r>
        <m:r>
          <m:rPr>
            <m:sty m:val="p"/>
          </m:rPr>
          <w:rPr>
            <w:rFonts w:ascii="Cambria Math" w:eastAsiaTheme="minorEastAsia" w:hAnsi="Cambria Math" w:cs="Times New Roman"/>
            <w:color w:val="000000" w:themeColor="text1"/>
          </w:rPr>
          <m:t>exp</m:t>
        </m:r>
        <m:d>
          <m:dPr>
            <m:ctrlPr>
              <w:rPr>
                <w:rFonts w:ascii="Cambria Math" w:eastAsiaTheme="minorEastAsia" w:hAnsi="Cambria Math" w:cs="Times New Roman"/>
                <w:color w:val="000000" w:themeColor="text1"/>
              </w:rPr>
            </m:ctrlPr>
          </m:dPr>
          <m:e>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log</m:t>
                </m:r>
              </m:e>
              <m:sub>
                <m:r>
                  <w:rPr>
                    <w:rFonts w:ascii="Cambria Math" w:eastAsiaTheme="minorEastAsia" w:hAnsi="Cambria Math" w:cs="Times New Roman"/>
                    <w:color w:val="000000" w:themeColor="text1"/>
                  </w:rPr>
                  <m:t>e</m:t>
                </m:r>
              </m:sub>
            </m:sSub>
            <m:d>
              <m:dPr>
                <m:ctrlPr>
                  <w:rPr>
                    <w:rFonts w:ascii="Cambria Math" w:eastAsiaTheme="minorEastAsia" w:hAnsi="Cambria Math" w:cs="Times New Roman"/>
                    <w:i/>
                    <w:color w:val="000000" w:themeColor="text1"/>
                  </w:rPr>
                </m:ctrlPr>
              </m:dPr>
              <m:e>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r>
                      <w:rPr>
                        <w:rFonts w:ascii="Cambria Math" w:eastAsiaTheme="minorEastAsia" w:hAnsi="Cambria Math" w:cs="Times New Roman"/>
                        <w:color w:val="000000" w:themeColor="text1"/>
                      </w:rPr>
                      <m:t>RR</m:t>
                    </m:r>
                  </m:e>
                  <m:sub>
                    <m:r>
                      <w:rPr>
                        <w:rFonts w:ascii="Cambria Math" w:eastAsiaTheme="minorEastAsia" w:hAnsi="Cambria Math" w:cs="Times New Roman"/>
                        <w:color w:val="000000" w:themeColor="text1"/>
                      </w:rPr>
                      <m:t>adj</m:t>
                    </m:r>
                  </m:sub>
                </m:sSub>
              </m:e>
            </m:d>
            <m:r>
              <w:rPr>
                <w:rFonts w:ascii="Cambria Math" w:eastAsiaTheme="minorEastAsia" w:hAnsi="Cambria Math" w:cs="Times New Roman"/>
                <w:color w:val="000000" w:themeColor="text1"/>
              </w:rPr>
              <m:t>±</m:t>
            </m:r>
            <m:rad>
              <m:radPr>
                <m:degHide m:val="1"/>
                <m:ctrlPr>
                  <w:rPr>
                    <w:rFonts w:ascii="Cambria Math" w:eastAsiaTheme="minorEastAsia" w:hAnsi="Cambria Math" w:cs="Times New Roman"/>
                    <w:i/>
                    <w:color w:val="000000" w:themeColor="text1"/>
                  </w:rPr>
                </m:ctrlPr>
              </m:radPr>
              <m:deg/>
              <m:e>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obs_count</m:t>
                            </m:r>
                          </m:e>
                          <m:sub>
                            <m:r>
                              <w:rPr>
                                <w:rFonts w:ascii="Cambria Math" w:eastAsiaTheme="minorEastAsia" w:hAnsi="Cambria Math" w:cs="Times New Roman"/>
                                <w:color w:val="000000" w:themeColor="text1"/>
                              </w:rPr>
                              <m:t>1</m:t>
                            </m:r>
                          </m:sub>
                        </m:sSub>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obs_count</m:t>
                            </m:r>
                          </m:e>
                          <m:sub>
                            <m:r>
                              <w:rPr>
                                <w:rFonts w:ascii="Cambria Math" w:eastAsiaTheme="minorEastAsia" w:hAnsi="Cambria Math" w:cs="Times New Roman"/>
                                <w:color w:val="000000" w:themeColor="text1"/>
                              </w:rPr>
                              <m:t>2</m:t>
                            </m:r>
                          </m:sub>
                        </m:sSub>
                      </m:den>
                    </m:f>
                  </m:e>
                </m:d>
              </m:e>
            </m:rad>
          </m:e>
        </m:d>
      </m:oMath>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t>Eq. 3</w:t>
      </w:r>
    </w:p>
    <w:p w:rsidR="00677841" w:rsidRPr="005E571B" w:rsidRDefault="00677841" w:rsidP="00677841">
      <w:pPr>
        <w:spacing w:line="360" w:lineRule="auto"/>
        <w:rPr>
          <w:rFonts w:ascii="Times New Roman" w:eastAsiaTheme="minorEastAsia" w:hAnsi="Times New Roman" w:cs="Times New Roman"/>
          <w:color w:val="000000" w:themeColor="text1"/>
        </w:rPr>
      </w:pPr>
      <w:r w:rsidRPr="005E571B">
        <w:rPr>
          <w:rFonts w:ascii="Times New Roman" w:eastAsiaTheme="minorEastAsia" w:hAnsi="Times New Roman" w:cs="Times New Roman"/>
          <w:color w:val="000000" w:themeColor="text1"/>
        </w:rPr>
        <w:t xml:space="preserve">Where </w:t>
      </w:r>
      <w:proofErr w:type="spellStart"/>
      <w:r w:rsidRPr="005E571B">
        <w:rPr>
          <w:rFonts w:ascii="Times New Roman" w:eastAsiaTheme="minorEastAsia" w:hAnsi="Times New Roman" w:cs="Times New Roman"/>
          <w:i/>
          <w:color w:val="000000" w:themeColor="text1"/>
        </w:rPr>
        <w:t>IRR</w:t>
      </w:r>
      <w:r w:rsidRPr="005E571B">
        <w:rPr>
          <w:rFonts w:ascii="Times New Roman" w:eastAsiaTheme="minorEastAsia" w:hAnsi="Times New Roman" w:cs="Times New Roman"/>
          <w:i/>
          <w:color w:val="000000" w:themeColor="text1"/>
          <w:vertAlign w:val="subscript"/>
        </w:rPr>
        <w:t>adj</w:t>
      </w:r>
      <w:proofErr w:type="spellEnd"/>
      <w:r w:rsidRPr="005E571B">
        <w:rPr>
          <w:rFonts w:ascii="Times New Roman" w:eastAsiaTheme="minorEastAsia" w:hAnsi="Times New Roman" w:cs="Times New Roman"/>
          <w:color w:val="000000" w:themeColor="text1"/>
        </w:rPr>
        <w:t xml:space="preserve"> is the adjusted mortality rate ratio, and </w:t>
      </w:r>
      <w:r w:rsidRPr="005E571B">
        <w:rPr>
          <w:rFonts w:ascii="Times New Roman" w:eastAsiaTheme="minorEastAsia" w:hAnsi="Times New Roman" w:cs="Times New Roman"/>
          <w:i/>
          <w:color w:val="000000" w:themeColor="text1"/>
        </w:rPr>
        <w:t>obs_count</w:t>
      </w:r>
      <w:r w:rsidRPr="005E571B">
        <w:rPr>
          <w:rFonts w:ascii="Times New Roman" w:eastAsiaTheme="minorEastAsia" w:hAnsi="Times New Roman" w:cs="Times New Roman"/>
          <w:i/>
          <w:color w:val="000000" w:themeColor="text1"/>
          <w:vertAlign w:val="subscript"/>
        </w:rPr>
        <w:t>1</w:t>
      </w:r>
      <w:r w:rsidRPr="005E571B">
        <w:rPr>
          <w:rFonts w:ascii="Times New Roman" w:eastAsiaTheme="minorEastAsia" w:hAnsi="Times New Roman" w:cs="Times New Roman"/>
          <w:color w:val="000000" w:themeColor="text1"/>
        </w:rPr>
        <w:t xml:space="preserve"> and </w:t>
      </w:r>
      <w:r w:rsidRPr="005E571B">
        <w:rPr>
          <w:rFonts w:ascii="Times New Roman" w:eastAsiaTheme="minorEastAsia" w:hAnsi="Times New Roman" w:cs="Times New Roman"/>
          <w:i/>
          <w:color w:val="000000" w:themeColor="text1"/>
        </w:rPr>
        <w:t>obs_count</w:t>
      </w:r>
      <w:r w:rsidRPr="005E571B">
        <w:rPr>
          <w:rFonts w:ascii="Times New Roman" w:eastAsiaTheme="minorEastAsia" w:hAnsi="Times New Roman" w:cs="Times New Roman"/>
          <w:i/>
          <w:color w:val="000000" w:themeColor="text1"/>
          <w:vertAlign w:val="subscript"/>
        </w:rPr>
        <w:t>2</w:t>
      </w:r>
      <w:r w:rsidRPr="005E571B">
        <w:rPr>
          <w:rFonts w:ascii="Times New Roman" w:eastAsiaTheme="minorEastAsia" w:hAnsi="Times New Roman" w:cs="Times New Roman"/>
          <w:color w:val="000000" w:themeColor="text1"/>
        </w:rPr>
        <w:t xml:space="preserve"> are the unadjusted counts for country 1 and country 2. </w:t>
      </w:r>
    </w:p>
    <w:p w:rsidR="00677841" w:rsidRPr="005E571B" w:rsidRDefault="00677841" w:rsidP="00677841">
      <w:pPr>
        <w:spacing w:line="360" w:lineRule="auto"/>
        <w:rPr>
          <w:rFonts w:ascii="Times New Roman" w:eastAsiaTheme="minorEastAsia" w:hAnsi="Times New Roman" w:cs="Times New Roman"/>
          <w:color w:val="000000" w:themeColor="text1"/>
        </w:rPr>
      </w:pPr>
      <w:r w:rsidRPr="005E571B">
        <w:rPr>
          <w:rFonts w:ascii="Times New Roman" w:eastAsiaTheme="minorEastAsia" w:hAnsi="Times New Roman" w:cs="Times New Roman"/>
          <w:color w:val="000000" w:themeColor="text1"/>
        </w:rPr>
        <w:t xml:space="preserve">Similarly, confidence intervals for the difference in rates were estimated as: </w:t>
      </w:r>
    </w:p>
    <w:p w:rsidR="00677841" w:rsidRPr="005E571B" w:rsidRDefault="00C81D34" w:rsidP="00677841">
      <w:pPr>
        <w:spacing w:line="360" w:lineRule="auto"/>
        <w:rPr>
          <w:rFonts w:ascii="Times New Roman" w:eastAsiaTheme="minorEastAsia" w:hAnsi="Times New Roman" w:cs="Times New Roman"/>
          <w:color w:val="000000" w:themeColor="text1"/>
        </w:rPr>
      </w:pPr>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95%CI</m:t>
            </m:r>
          </m:e>
          <m:sub>
            <m:r>
              <w:rPr>
                <w:rFonts w:ascii="Cambria Math" w:eastAsiaTheme="minorEastAsia" w:hAnsi="Cambria Math" w:cs="Times New Roman"/>
                <w:color w:val="000000" w:themeColor="text1"/>
              </w:rPr>
              <m:t>RD</m:t>
            </m:r>
          </m:sub>
        </m:sSub>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RD</m:t>
            </m:r>
          </m:e>
          <m:sub>
            <m:r>
              <w:rPr>
                <w:rFonts w:ascii="Cambria Math" w:eastAsiaTheme="minorEastAsia" w:hAnsi="Cambria Math" w:cs="Times New Roman"/>
                <w:color w:val="000000" w:themeColor="text1"/>
              </w:rPr>
              <m:t>adj</m:t>
            </m:r>
          </m:sub>
        </m:sSub>
        <m:r>
          <w:rPr>
            <w:rFonts w:ascii="Cambria Math" w:eastAsiaTheme="minorEastAsia" w:hAnsi="Cambria Math" w:cs="Times New Roman"/>
            <w:color w:val="000000" w:themeColor="text1"/>
          </w:rPr>
          <m:t>±</m:t>
        </m:r>
        <m:rad>
          <m:radPr>
            <m:degHide m:val="1"/>
            <m:ctrlPr>
              <w:rPr>
                <w:rFonts w:ascii="Cambria Math" w:eastAsiaTheme="minorEastAsia" w:hAnsi="Cambria Math" w:cs="Times New Roman"/>
                <w:i/>
                <w:color w:val="000000" w:themeColor="text1"/>
              </w:rPr>
            </m:ctrlPr>
          </m:radPr>
          <m:deg/>
          <m:e>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adj_count</m:t>
                        </m:r>
                      </m:e>
                      <m:sub>
                        <m:r>
                          <w:rPr>
                            <w:rFonts w:ascii="Cambria Math" w:eastAsiaTheme="minorEastAsia" w:hAnsi="Cambria Math" w:cs="Times New Roman"/>
                            <w:color w:val="000000" w:themeColor="text1"/>
                          </w:rPr>
                          <m:t>1</m:t>
                        </m:r>
                      </m:sub>
                    </m:sSub>
                  </m:num>
                  <m:den>
                    <m:sSubSup>
                      <m:sSubSupPr>
                        <m:ctrlPr>
                          <w:rPr>
                            <w:rFonts w:ascii="Cambria Math" w:eastAsiaTheme="minorEastAsia" w:hAnsi="Cambria Math" w:cs="Times New Roman"/>
                            <w:i/>
                            <w:color w:val="000000" w:themeColor="text1"/>
                          </w:rPr>
                        </m:ctrlPr>
                      </m:sSubSupPr>
                      <m:e>
                        <m:r>
                          <w:rPr>
                            <w:rFonts w:ascii="Cambria Math" w:eastAsiaTheme="minorEastAsia" w:hAnsi="Cambria Math" w:cs="Times New Roman"/>
                            <w:color w:val="000000" w:themeColor="text1"/>
                          </w:rPr>
                          <m:t>py</m:t>
                        </m:r>
                      </m:e>
                      <m:sub>
                        <m:r>
                          <w:rPr>
                            <w:rFonts w:ascii="Cambria Math" w:eastAsiaTheme="minorEastAsia" w:hAnsi="Cambria Math" w:cs="Times New Roman"/>
                            <w:color w:val="000000" w:themeColor="text1"/>
                          </w:rPr>
                          <m:t>1</m:t>
                        </m:r>
                      </m:sub>
                      <m:sup>
                        <m:r>
                          <w:rPr>
                            <w:rFonts w:ascii="Cambria Math" w:eastAsiaTheme="minorEastAsia" w:hAnsi="Cambria Math" w:cs="Times New Roman"/>
                            <w:color w:val="000000" w:themeColor="text1"/>
                          </w:rPr>
                          <m:t>2</m:t>
                        </m:r>
                      </m:sup>
                    </m:sSubSup>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p</m:t>
                        </m:r>
                      </m:e>
                      <m:sub>
                        <m:r>
                          <w:rPr>
                            <w:rFonts w:ascii="Cambria Math" w:eastAsiaTheme="minorEastAsia" w:hAnsi="Cambria Math" w:cs="Times New Roman"/>
                            <w:color w:val="000000" w:themeColor="text1"/>
                          </w:rPr>
                          <m:t>1</m:t>
                        </m:r>
                      </m:sub>
                    </m:sSub>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adj_count</m:t>
                        </m:r>
                      </m:e>
                      <m:sub>
                        <m:r>
                          <w:rPr>
                            <w:rFonts w:ascii="Cambria Math" w:eastAsiaTheme="minorEastAsia" w:hAnsi="Cambria Math" w:cs="Times New Roman"/>
                            <w:color w:val="000000" w:themeColor="text1"/>
                          </w:rPr>
                          <m:t>2</m:t>
                        </m:r>
                      </m:sub>
                    </m:sSub>
                  </m:num>
                  <m:den>
                    <m:sSubSup>
                      <m:sSubSupPr>
                        <m:ctrlPr>
                          <w:rPr>
                            <w:rFonts w:ascii="Cambria Math" w:eastAsiaTheme="minorEastAsia" w:hAnsi="Cambria Math" w:cs="Times New Roman"/>
                            <w:i/>
                            <w:color w:val="000000" w:themeColor="text1"/>
                          </w:rPr>
                        </m:ctrlPr>
                      </m:sSubSupPr>
                      <m:e>
                        <m:r>
                          <w:rPr>
                            <w:rFonts w:ascii="Cambria Math" w:eastAsiaTheme="minorEastAsia" w:hAnsi="Cambria Math" w:cs="Times New Roman"/>
                            <w:color w:val="000000" w:themeColor="text1"/>
                          </w:rPr>
                          <m:t>py</m:t>
                        </m:r>
                      </m:e>
                      <m:sub>
                        <m:r>
                          <w:rPr>
                            <w:rFonts w:ascii="Cambria Math" w:eastAsiaTheme="minorEastAsia" w:hAnsi="Cambria Math" w:cs="Times New Roman"/>
                            <w:color w:val="000000" w:themeColor="text1"/>
                          </w:rPr>
                          <m:t>2</m:t>
                        </m:r>
                      </m:sub>
                      <m:sup>
                        <m:r>
                          <w:rPr>
                            <w:rFonts w:ascii="Cambria Math" w:eastAsiaTheme="minorEastAsia" w:hAnsi="Cambria Math" w:cs="Times New Roman"/>
                            <w:color w:val="000000" w:themeColor="text1"/>
                          </w:rPr>
                          <m:t>2</m:t>
                        </m:r>
                      </m:sup>
                    </m:sSubSup>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p</m:t>
                        </m:r>
                      </m:e>
                      <m:sub>
                        <m:r>
                          <w:rPr>
                            <w:rFonts w:ascii="Cambria Math" w:eastAsiaTheme="minorEastAsia" w:hAnsi="Cambria Math" w:cs="Times New Roman"/>
                            <w:color w:val="000000" w:themeColor="text1"/>
                          </w:rPr>
                          <m:t>2</m:t>
                        </m:r>
                      </m:sub>
                    </m:sSub>
                  </m:den>
                </m:f>
              </m:e>
            </m:d>
          </m:e>
        </m:rad>
      </m:oMath>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r>
      <w:r w:rsidR="00677841" w:rsidRPr="005E571B">
        <w:rPr>
          <w:rFonts w:ascii="Times New Roman" w:eastAsiaTheme="minorEastAsia" w:hAnsi="Times New Roman" w:cs="Times New Roman"/>
          <w:color w:val="000000" w:themeColor="text1"/>
        </w:rPr>
        <w:tab/>
        <w:t>Eq. 4</w:t>
      </w:r>
    </w:p>
    <w:p w:rsidR="00677841" w:rsidRDefault="00677841" w:rsidP="00677841">
      <w:pPr>
        <w:spacing w:line="360" w:lineRule="auto"/>
        <w:rPr>
          <w:rFonts w:ascii="Times New Roman" w:hAnsi="Times New Roman" w:cs="Times New Roman"/>
          <w:color w:val="000000" w:themeColor="text1"/>
        </w:rPr>
      </w:pPr>
      <w:proofErr w:type="gramStart"/>
      <w:r w:rsidRPr="005E571B">
        <w:rPr>
          <w:rFonts w:ascii="Times New Roman" w:hAnsi="Times New Roman" w:cs="Times New Roman"/>
          <w:color w:val="000000" w:themeColor="text1"/>
        </w:rPr>
        <w:t>where</w:t>
      </w:r>
      <w:proofErr w:type="gramEnd"/>
      <w:r w:rsidRPr="005E571B">
        <w:rPr>
          <w:rFonts w:ascii="Times New Roman" w:hAnsi="Times New Roman" w:cs="Times New Roman"/>
          <w:color w:val="000000" w:themeColor="text1"/>
        </w:rPr>
        <w:t xml:space="preserve"> </w:t>
      </w:r>
      <w:proofErr w:type="spellStart"/>
      <w:r w:rsidRPr="005E571B">
        <w:rPr>
          <w:rFonts w:ascii="Times New Roman" w:hAnsi="Times New Roman" w:cs="Times New Roman"/>
          <w:i/>
          <w:color w:val="000000" w:themeColor="text1"/>
        </w:rPr>
        <w:t>RD</w:t>
      </w:r>
      <w:r w:rsidRPr="005E571B">
        <w:rPr>
          <w:rFonts w:ascii="Times New Roman" w:hAnsi="Times New Roman" w:cs="Times New Roman"/>
          <w:i/>
          <w:color w:val="000000" w:themeColor="text1"/>
          <w:vertAlign w:val="subscript"/>
        </w:rPr>
        <w:t>adj</w:t>
      </w:r>
      <w:proofErr w:type="spellEnd"/>
      <w:r w:rsidRPr="005E571B">
        <w:rPr>
          <w:rFonts w:ascii="Times New Roman" w:hAnsi="Times New Roman" w:cs="Times New Roman"/>
          <w:color w:val="000000" w:themeColor="text1"/>
        </w:rPr>
        <w:t xml:space="preserve"> is the adjusted rate difference, </w:t>
      </w:r>
      <w:r w:rsidRPr="005E571B">
        <w:rPr>
          <w:rFonts w:ascii="Times New Roman" w:hAnsi="Times New Roman" w:cs="Times New Roman"/>
          <w:i/>
          <w:color w:val="000000" w:themeColor="text1"/>
        </w:rPr>
        <w:t>p</w:t>
      </w:r>
      <w:r w:rsidRPr="005E571B">
        <w:rPr>
          <w:rFonts w:ascii="Times New Roman" w:hAnsi="Times New Roman" w:cs="Times New Roman"/>
          <w:i/>
          <w:color w:val="000000" w:themeColor="text1"/>
          <w:vertAlign w:val="subscript"/>
        </w:rPr>
        <w:t>1</w:t>
      </w:r>
      <w:r w:rsidRPr="005E571B">
        <w:rPr>
          <w:rFonts w:ascii="Times New Roman" w:hAnsi="Times New Roman" w:cs="Times New Roman"/>
          <w:color w:val="000000" w:themeColor="text1"/>
        </w:rPr>
        <w:t xml:space="preserve"> and </w:t>
      </w:r>
      <w:r w:rsidRPr="005E571B">
        <w:rPr>
          <w:rFonts w:ascii="Times New Roman" w:hAnsi="Times New Roman" w:cs="Times New Roman"/>
          <w:i/>
          <w:color w:val="000000" w:themeColor="text1"/>
        </w:rPr>
        <w:t>p</w:t>
      </w:r>
      <w:r w:rsidRPr="005E571B">
        <w:rPr>
          <w:rFonts w:ascii="Times New Roman" w:hAnsi="Times New Roman" w:cs="Times New Roman"/>
          <w:i/>
          <w:color w:val="000000" w:themeColor="text1"/>
          <w:vertAlign w:val="subscript"/>
        </w:rPr>
        <w:t>2</w:t>
      </w:r>
      <w:r w:rsidRPr="005E571B">
        <w:rPr>
          <w:rFonts w:ascii="Times New Roman" w:hAnsi="Times New Roman" w:cs="Times New Roman"/>
          <w:color w:val="000000" w:themeColor="text1"/>
        </w:rPr>
        <w:t xml:space="preserve"> are the estimated proportion of deaths reported (</w:t>
      </w:r>
      <w:r w:rsidRPr="005E571B">
        <w:rPr>
          <w:rFonts w:ascii="Times New Roman" w:hAnsi="Times New Roman" w:cs="Times New Roman"/>
          <w:i/>
          <w:color w:val="000000" w:themeColor="text1"/>
        </w:rPr>
        <w:t>p</w:t>
      </w:r>
      <w:r w:rsidRPr="005E571B">
        <w:rPr>
          <w:rFonts w:ascii="Times New Roman" w:hAnsi="Times New Roman" w:cs="Times New Roman"/>
          <w:color w:val="000000" w:themeColor="text1"/>
        </w:rPr>
        <w:t>=</w:t>
      </w:r>
      <w:proofErr w:type="spellStart"/>
      <w:r w:rsidRPr="005E571B">
        <w:rPr>
          <w:rFonts w:ascii="Times New Roman" w:hAnsi="Times New Roman" w:cs="Times New Roman"/>
          <w:i/>
          <w:color w:val="000000" w:themeColor="text1"/>
        </w:rPr>
        <w:t>obs_count</w:t>
      </w:r>
      <w:proofErr w:type="spellEnd"/>
      <w:r w:rsidRPr="005E571B">
        <w:rPr>
          <w:rFonts w:ascii="Times New Roman" w:hAnsi="Times New Roman" w:cs="Times New Roman"/>
          <w:color w:val="000000" w:themeColor="text1"/>
        </w:rPr>
        <w:t>/</w:t>
      </w:r>
      <w:proofErr w:type="spellStart"/>
      <w:r w:rsidRPr="005E571B">
        <w:rPr>
          <w:rFonts w:ascii="Times New Roman" w:hAnsi="Times New Roman" w:cs="Times New Roman"/>
          <w:i/>
          <w:color w:val="000000" w:themeColor="text1"/>
        </w:rPr>
        <w:t>adj_count</w:t>
      </w:r>
      <w:proofErr w:type="spellEnd"/>
      <w:r w:rsidRPr="005E571B">
        <w:rPr>
          <w:rFonts w:ascii="Times New Roman" w:hAnsi="Times New Roman" w:cs="Times New Roman"/>
          <w:color w:val="000000" w:themeColor="text1"/>
        </w:rPr>
        <w:t>) and</w:t>
      </w:r>
      <w:r w:rsidRPr="005E571B">
        <w:rPr>
          <w:rFonts w:ascii="Times New Roman" w:hAnsi="Times New Roman" w:cs="Times New Roman"/>
          <w:i/>
          <w:color w:val="000000" w:themeColor="text1"/>
        </w:rPr>
        <w:t xml:space="preserve"> py</w:t>
      </w:r>
      <w:r w:rsidRPr="005E571B">
        <w:rPr>
          <w:rFonts w:ascii="Times New Roman" w:hAnsi="Times New Roman" w:cs="Times New Roman"/>
          <w:i/>
          <w:color w:val="000000" w:themeColor="text1"/>
          <w:vertAlign w:val="subscript"/>
        </w:rPr>
        <w:t>1</w:t>
      </w:r>
      <w:r w:rsidRPr="005E571B">
        <w:rPr>
          <w:rFonts w:ascii="Times New Roman" w:hAnsi="Times New Roman" w:cs="Times New Roman"/>
          <w:color w:val="000000" w:themeColor="text1"/>
        </w:rPr>
        <w:t xml:space="preserve"> and </w:t>
      </w:r>
      <w:r w:rsidRPr="005E571B">
        <w:rPr>
          <w:rFonts w:ascii="Times New Roman" w:hAnsi="Times New Roman" w:cs="Times New Roman"/>
          <w:i/>
          <w:color w:val="000000" w:themeColor="text1"/>
        </w:rPr>
        <w:t>py</w:t>
      </w:r>
      <w:r w:rsidRPr="005E571B">
        <w:rPr>
          <w:rFonts w:ascii="Times New Roman" w:hAnsi="Times New Roman" w:cs="Times New Roman"/>
          <w:i/>
          <w:color w:val="000000" w:themeColor="text1"/>
          <w:vertAlign w:val="subscript"/>
        </w:rPr>
        <w:t>2</w:t>
      </w:r>
      <w:r w:rsidRPr="005E571B">
        <w:rPr>
          <w:rFonts w:ascii="Times New Roman" w:hAnsi="Times New Roman" w:cs="Times New Roman"/>
          <w:color w:val="000000" w:themeColor="text1"/>
        </w:rPr>
        <w:t xml:space="preserve"> are the person years for country 1 and 2 respectively. </w:t>
      </w:r>
    </w:p>
    <w:p w:rsidR="00423295" w:rsidRPr="00423295" w:rsidRDefault="00423295" w:rsidP="00423295">
      <w:pPr>
        <w:rPr>
          <w:rFonts w:ascii="Times New Roman" w:hAnsi="Times New Roman" w:cs="Times New Roman"/>
          <w:b/>
          <w:noProof/>
        </w:rPr>
      </w:pPr>
      <w:r w:rsidRPr="00423295">
        <w:rPr>
          <w:rFonts w:ascii="Times New Roman" w:hAnsi="Times New Roman" w:cs="Times New Roman"/>
        </w:rPr>
        <w:lastRenderedPageBreak/>
        <w:fldChar w:fldCharType="begin"/>
      </w:r>
      <w:r w:rsidRPr="00423295">
        <w:rPr>
          <w:rFonts w:ascii="Times New Roman" w:hAnsi="Times New Roman" w:cs="Times New Roman"/>
        </w:rPr>
        <w:instrText xml:space="preserve"> ADDIN REFMGR.REFLIST </w:instrText>
      </w:r>
      <w:r w:rsidRPr="00423295">
        <w:rPr>
          <w:rFonts w:ascii="Times New Roman" w:hAnsi="Times New Roman" w:cs="Times New Roman"/>
        </w:rPr>
        <w:fldChar w:fldCharType="separate"/>
      </w:r>
      <w:r w:rsidRPr="00423295">
        <w:rPr>
          <w:rFonts w:ascii="Times New Roman" w:hAnsi="Times New Roman" w:cs="Times New Roman"/>
          <w:b/>
          <w:noProof/>
        </w:rPr>
        <w:t>References</w:t>
      </w:r>
    </w:p>
    <w:p w:rsidR="00423295" w:rsidRPr="00423295" w:rsidRDefault="00423295" w:rsidP="00423295">
      <w:pPr>
        <w:jc w:val="center"/>
        <w:rPr>
          <w:rFonts w:ascii="Times New Roman" w:hAnsi="Times New Roman" w:cs="Times New Roman"/>
          <w:noProof/>
        </w:rPr>
      </w:pPr>
    </w:p>
    <w:p w:rsidR="00423295" w:rsidRPr="00423295" w:rsidRDefault="00423295" w:rsidP="00423295">
      <w:pPr>
        <w:tabs>
          <w:tab w:val="right" w:pos="360"/>
          <w:tab w:val="left" w:pos="540"/>
        </w:tabs>
        <w:spacing w:after="240" w:line="240" w:lineRule="auto"/>
        <w:ind w:firstLine="16"/>
        <w:rPr>
          <w:rFonts w:ascii="Times New Roman" w:hAnsi="Times New Roman" w:cs="Times New Roman"/>
          <w:noProof/>
        </w:rPr>
      </w:pPr>
      <w:r w:rsidRPr="00423295">
        <w:rPr>
          <w:rFonts w:ascii="Times New Roman" w:hAnsi="Times New Roman" w:cs="Times New Roman"/>
          <w:noProof/>
        </w:rPr>
        <w:tab/>
        <w:t xml:space="preserve">1. </w:t>
      </w:r>
      <w:r w:rsidRPr="00423295">
        <w:rPr>
          <w:rFonts w:ascii="Times New Roman" w:hAnsi="Times New Roman" w:cs="Times New Roman"/>
          <w:noProof/>
        </w:rPr>
        <w:tab/>
      </w:r>
      <w:r w:rsidRPr="00423295">
        <w:rPr>
          <w:rFonts w:ascii="Times New Roman" w:hAnsi="Times New Roman" w:cs="Times New Roman"/>
          <w:noProof/>
        </w:rPr>
        <w:tab/>
        <w:t>Hardelid P, Andrews N, Pebody R (2011) Excess mortality monitoring in England and Wales during the influenza A(H1N1) 2009 pandemic. Epidemiol Infect 139: 1431-1439.</w:t>
      </w:r>
    </w:p>
    <w:p w:rsidR="00423295" w:rsidRPr="00423295" w:rsidRDefault="00423295" w:rsidP="00423295">
      <w:pPr>
        <w:tabs>
          <w:tab w:val="right" w:pos="360"/>
          <w:tab w:val="left" w:pos="540"/>
        </w:tabs>
        <w:spacing w:after="0" w:line="240" w:lineRule="auto"/>
        <w:ind w:firstLine="16"/>
        <w:rPr>
          <w:rFonts w:ascii="Times New Roman" w:hAnsi="Times New Roman" w:cs="Times New Roman"/>
          <w:noProof/>
        </w:rPr>
      </w:pPr>
      <w:r w:rsidRPr="00423295">
        <w:rPr>
          <w:rFonts w:ascii="Times New Roman" w:hAnsi="Times New Roman" w:cs="Times New Roman"/>
          <w:noProof/>
        </w:rPr>
        <w:tab/>
        <w:t xml:space="preserve">2. </w:t>
      </w:r>
      <w:r w:rsidRPr="00423295">
        <w:rPr>
          <w:rFonts w:ascii="Times New Roman" w:hAnsi="Times New Roman" w:cs="Times New Roman"/>
          <w:noProof/>
        </w:rPr>
        <w:tab/>
      </w:r>
      <w:r w:rsidRPr="00423295">
        <w:rPr>
          <w:rFonts w:ascii="Times New Roman" w:hAnsi="Times New Roman" w:cs="Times New Roman"/>
          <w:noProof/>
        </w:rPr>
        <w:tab/>
        <w:t>Green HK, Andrews NJ, Bickler G, Pebody RG (2012) Rapid estimation of excess mortality: nowcasting during the heatwave alert in England and Wales in June 2011. J Epidemiol Community Health 66: 866-868.</w:t>
      </w:r>
    </w:p>
    <w:p w:rsidR="00423295" w:rsidRPr="00423295" w:rsidRDefault="00423295" w:rsidP="00423295">
      <w:pPr>
        <w:tabs>
          <w:tab w:val="right" w:pos="360"/>
          <w:tab w:val="left" w:pos="540"/>
        </w:tabs>
        <w:spacing w:after="0" w:line="240" w:lineRule="auto"/>
        <w:ind w:left="1260" w:hanging="1260"/>
        <w:rPr>
          <w:rFonts w:ascii="Times New Roman" w:hAnsi="Times New Roman" w:cs="Times New Roman"/>
          <w:noProof/>
        </w:rPr>
      </w:pPr>
    </w:p>
    <w:p w:rsidR="00677841" w:rsidRDefault="00423295">
      <w:pPr>
        <w:rPr>
          <w:rFonts w:ascii="Times New Roman" w:hAnsi="Times New Roman" w:cs="Times New Roman"/>
        </w:rPr>
      </w:pPr>
      <w:r w:rsidRPr="00423295">
        <w:rPr>
          <w:rFonts w:ascii="Times New Roman" w:hAnsi="Times New Roman" w:cs="Times New Roman"/>
        </w:rPr>
        <w:fldChar w:fldCharType="end"/>
      </w:r>
    </w:p>
    <w:p w:rsidR="007E53FC" w:rsidRDefault="007E53FC">
      <w:pPr>
        <w:rPr>
          <w:rFonts w:ascii="Times New Roman" w:hAnsi="Times New Roman" w:cs="Times New Roman"/>
        </w:rPr>
      </w:pPr>
    </w:p>
    <w:p w:rsidR="007E53FC" w:rsidRDefault="007E53FC" w:rsidP="007E53FC"/>
    <w:p w:rsidR="007E53FC" w:rsidRPr="00423295" w:rsidRDefault="007E53FC">
      <w:pPr>
        <w:rPr>
          <w:rFonts w:ascii="Times New Roman" w:hAnsi="Times New Roman" w:cs="Times New Roman"/>
        </w:rPr>
      </w:pPr>
    </w:p>
    <w:sectPr w:rsidR="007E53FC" w:rsidRPr="00423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child_death_references&lt;/item&gt;&lt;/Libraries&gt;&lt;/ENLibraries&gt;"/>
  </w:docVars>
  <w:rsids>
    <w:rsidRoot w:val="00677841"/>
    <w:rsid w:val="00423295"/>
    <w:rsid w:val="00440EC9"/>
    <w:rsid w:val="00677841"/>
    <w:rsid w:val="0070798D"/>
    <w:rsid w:val="007E53FC"/>
    <w:rsid w:val="008B608B"/>
    <w:rsid w:val="00956A28"/>
    <w:rsid w:val="00C31375"/>
    <w:rsid w:val="00C81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F4A2E98</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Hardelid</dc:creator>
  <cp:lastModifiedBy>Pia Hardelid</cp:lastModifiedBy>
  <cp:revision>2</cp:revision>
  <dcterms:created xsi:type="dcterms:W3CDTF">2013-06-11T11:08:00Z</dcterms:created>
  <dcterms:modified xsi:type="dcterms:W3CDTF">2013-06-11T11:08:00Z</dcterms:modified>
</cp:coreProperties>
</file>