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B" w:rsidRDefault="000F5D2B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Supporting Information S2.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F3E52">
        <w:rPr>
          <w:rFonts w:ascii="Times New Roman" w:hAnsi="Times New Roman" w:cs="Times New Roman"/>
          <w:sz w:val="24"/>
          <w:szCs w:val="24"/>
        </w:rPr>
        <w:t>upporting ordination data (eigenvalues and variable loadings) for the results</w:t>
      </w:r>
      <w:r>
        <w:rPr>
          <w:rFonts w:ascii="Times New Roman" w:hAnsi="Times New Roman" w:cs="Times New Roman"/>
          <w:sz w:val="24"/>
          <w:szCs w:val="24"/>
        </w:rPr>
        <w:t xml:space="preserve"> of this study.</w:t>
      </w:r>
      <w:bookmarkStart w:id="0" w:name="_GoBack"/>
      <w:bookmarkEnd w:id="0"/>
      <w:proofErr w:type="gramEnd"/>
    </w:p>
    <w:p w:rsidR="000F5D2B" w:rsidRDefault="000F5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9F2" w:rsidRPr="00D91259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D9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D91259">
        <w:rPr>
          <w:rFonts w:ascii="Times New Roman" w:hAnsi="Times New Roman" w:cs="Times New Roman"/>
          <w:sz w:val="24"/>
          <w:szCs w:val="24"/>
        </w:rPr>
        <w:t>2. Results for the time-averaged</w:t>
      </w:r>
      <w:r w:rsidR="009719F2">
        <w:rPr>
          <w:rFonts w:ascii="Times New Roman" w:hAnsi="Times New Roman" w:cs="Times New Roman"/>
          <w:sz w:val="24"/>
          <w:szCs w:val="24"/>
        </w:rPr>
        <w:t xml:space="preserve">, </w:t>
      </w:r>
      <w:r w:rsidR="009719F2" w:rsidRPr="00D91259">
        <w:rPr>
          <w:rFonts w:ascii="Times New Roman" w:hAnsi="Times New Roman" w:cs="Times New Roman"/>
          <w:sz w:val="24"/>
          <w:szCs w:val="24"/>
        </w:rPr>
        <w:t>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D91259">
        <w:rPr>
          <w:rFonts w:ascii="Times New Roman" w:hAnsi="Times New Roman" w:cs="Times New Roman"/>
          <w:sz w:val="24"/>
          <w:szCs w:val="24"/>
        </w:rPr>
        <w:t>PCA.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1596"/>
      </w:tblGrid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52.183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82.571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88.5256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92.7184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94.7166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96.6695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97.88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98.82005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99.42234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99.76027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99.92547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D91259" w:rsidRDefault="009719F2" w:rsidP="009719F2">
      <w:pPr>
        <w:sectPr w:rsidR="009719F2" w:rsidRPr="00D91259" w:rsidSect="00A44B5B">
          <w:headerReference w:type="default" r:id="rId9"/>
          <w:footerReference w:type="default" r:id="rId10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  <w:r>
        <w:br w:type="textWrapping" w:clear="all"/>
      </w:r>
    </w:p>
    <w:p w:rsidR="009719F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AA191F">
        <w:rPr>
          <w:rFonts w:ascii="Times New Roman" w:hAnsi="Times New Roman" w:cs="Times New Roman"/>
          <w:sz w:val="24"/>
          <w:szCs w:val="24"/>
        </w:rPr>
        <w:t>3. Variable loadings for the time-averaged</w:t>
      </w:r>
      <w:r w:rsidR="009719F2">
        <w:rPr>
          <w:rFonts w:ascii="Times New Roman" w:hAnsi="Times New Roman" w:cs="Times New Roman"/>
          <w:sz w:val="24"/>
          <w:szCs w:val="24"/>
        </w:rPr>
        <w:t>,</w:t>
      </w:r>
      <w:r w:rsidR="009719F2" w:rsidRPr="00AA191F">
        <w:rPr>
          <w:rFonts w:ascii="Times New Roman" w:hAnsi="Times New Roman" w:cs="Times New Roman"/>
          <w:sz w:val="24"/>
          <w:szCs w:val="24"/>
        </w:rPr>
        <w:t xml:space="preserve"> 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AA191F">
        <w:rPr>
          <w:rFonts w:ascii="Times New Roman" w:hAnsi="Times New Roman" w:cs="Times New Roman"/>
          <w:sz w:val="24"/>
          <w:szCs w:val="24"/>
        </w:rPr>
        <w:t>PCA.</w:t>
      </w:r>
    </w:p>
    <w:tbl>
      <w:tblPr>
        <w:tblW w:w="12480" w:type="dxa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0.8357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-0.4824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-0.2394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0.0188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0.0122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-0.0927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-0.0337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0.0265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-0.0178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-0.0196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11"/>
          <w:footerReference w:type="default" r:id="rId12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B0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B016A5">
        <w:rPr>
          <w:rFonts w:ascii="Times New Roman" w:hAnsi="Times New Roman" w:cs="Times New Roman"/>
          <w:sz w:val="24"/>
          <w:szCs w:val="24"/>
        </w:rPr>
        <w:t xml:space="preserve">4. </w:t>
      </w:r>
      <w:r w:rsidR="009719F2">
        <w:rPr>
          <w:rFonts w:ascii="Times New Roman" w:hAnsi="Times New Roman" w:cs="Times New Roman"/>
          <w:sz w:val="24"/>
          <w:szCs w:val="24"/>
        </w:rPr>
        <w:t>Variable loadings</w:t>
      </w:r>
      <w:r w:rsidR="009719F2" w:rsidRPr="00B016A5">
        <w:rPr>
          <w:rFonts w:ascii="Times New Roman" w:hAnsi="Times New Roman" w:cs="Times New Roman"/>
          <w:sz w:val="24"/>
          <w:szCs w:val="24"/>
        </w:rPr>
        <w:t xml:space="preserve"> for the time-averaged</w:t>
      </w:r>
      <w:r w:rsidR="009719F2">
        <w:rPr>
          <w:rFonts w:ascii="Times New Roman" w:hAnsi="Times New Roman" w:cs="Times New Roman"/>
          <w:sz w:val="24"/>
          <w:szCs w:val="24"/>
        </w:rPr>
        <w:t xml:space="preserve">, </w:t>
      </w:r>
      <w:r w:rsidR="009719F2" w:rsidRPr="00B016A5">
        <w:rPr>
          <w:rFonts w:ascii="Times New Roman" w:hAnsi="Times New Roman" w:cs="Times New Roman"/>
          <w:sz w:val="24"/>
          <w:szCs w:val="24"/>
        </w:rPr>
        <w:t>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B016A5">
        <w:rPr>
          <w:rFonts w:ascii="Times New Roman" w:hAnsi="Times New Roman" w:cs="Times New Roman"/>
          <w:sz w:val="24"/>
          <w:szCs w:val="24"/>
        </w:rPr>
        <w:t>DFA.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076"/>
        <w:gridCol w:w="1076"/>
      </w:tblGrid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-0.81702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1.925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-0.12294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0.60565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-0.41136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0.37414</w:t>
            </w:r>
          </w:p>
        </w:tc>
      </w:tr>
      <w:tr w:rsidR="009719F2" w:rsidRPr="00E95465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E95465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-0.28906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13"/>
          <w:footerReference w:type="default" r:id="rId14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C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719F2">
        <w:rPr>
          <w:rFonts w:ascii="Times New Roman" w:hAnsi="Times New Roman" w:cs="Times New Roman"/>
          <w:sz w:val="24"/>
          <w:szCs w:val="24"/>
        </w:rPr>
        <w:t>Results for the time-averaged,</w:t>
      </w:r>
      <w:r w:rsidR="009719F2" w:rsidRPr="00CC1A88">
        <w:rPr>
          <w:rFonts w:ascii="Times New Roman" w:hAnsi="Times New Roman" w:cs="Times New Roman"/>
          <w:sz w:val="24"/>
          <w:szCs w:val="24"/>
        </w:rPr>
        <w:t xml:space="preserve"> ankylosaur 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1596"/>
      </w:tblGrid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54.734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81.45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89.5503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92.9075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95.3138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97.0852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98.2919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98.95444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99.41229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99.73901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99.96125</w:t>
            </w:r>
          </w:p>
        </w:tc>
      </w:tr>
      <w:tr w:rsidR="009719F2" w:rsidRPr="00555398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4.97x10</w:t>
            </w: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5539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7E14C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7E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7E14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719F2" w:rsidRPr="007E14C2">
        <w:rPr>
          <w:rFonts w:ascii="Times New Roman" w:hAnsi="Times New Roman" w:cs="Times New Roman"/>
          <w:sz w:val="24"/>
          <w:szCs w:val="24"/>
        </w:rPr>
        <w:t>Variable</w:t>
      </w:r>
      <w:r w:rsidR="009719F2">
        <w:rPr>
          <w:rFonts w:ascii="Times New Roman" w:hAnsi="Times New Roman" w:cs="Times New Roman"/>
          <w:sz w:val="24"/>
          <w:szCs w:val="24"/>
        </w:rPr>
        <w:t xml:space="preserve"> loadings for the time-averaged,</w:t>
      </w:r>
      <w:r w:rsidR="009719F2" w:rsidRPr="007E14C2">
        <w:rPr>
          <w:rFonts w:ascii="Times New Roman" w:hAnsi="Times New Roman" w:cs="Times New Roman"/>
          <w:sz w:val="24"/>
          <w:szCs w:val="24"/>
        </w:rPr>
        <w:t xml:space="preserve"> ankylosaur family PCA.</w:t>
      </w:r>
      <w:proofErr w:type="gramEnd"/>
    </w:p>
    <w:tbl>
      <w:tblPr>
        <w:tblW w:w="12563" w:type="dxa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0.5925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-0.2824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-0.4716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0.0559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0.0643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0.0019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0.4372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-0.1380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0.0693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-0.0630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0.2277</w:t>
            </w:r>
          </w:p>
        </w:tc>
      </w:tr>
      <w:tr w:rsidR="009719F2" w:rsidRPr="007E14C2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E14C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-0.2619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15"/>
          <w:footerReference w:type="default" r:id="rId16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C368F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C36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>
        <w:rPr>
          <w:rFonts w:ascii="Times New Roman" w:hAnsi="Times New Roman" w:cs="Times New Roman"/>
          <w:sz w:val="24"/>
          <w:szCs w:val="24"/>
        </w:rPr>
        <w:t>7</w:t>
      </w:r>
      <w:r w:rsidR="009719F2" w:rsidRPr="00C368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9F2" w:rsidRPr="00C368F2">
        <w:rPr>
          <w:rFonts w:ascii="Times New Roman" w:hAnsi="Times New Roman" w:cs="Times New Roman"/>
          <w:sz w:val="24"/>
          <w:szCs w:val="24"/>
        </w:rPr>
        <w:t>Results for the time-averaged</w:t>
      </w:r>
      <w:r w:rsidR="009719F2">
        <w:rPr>
          <w:rFonts w:ascii="Times New Roman" w:hAnsi="Times New Roman" w:cs="Times New Roman"/>
          <w:sz w:val="24"/>
          <w:szCs w:val="24"/>
        </w:rPr>
        <w:t>,</w:t>
      </w:r>
      <w:r w:rsidR="009719F2" w:rsidRPr="00C368F2">
        <w:rPr>
          <w:rFonts w:ascii="Times New Roman" w:hAnsi="Times New Roman" w:cs="Times New Roman"/>
          <w:sz w:val="24"/>
          <w:szCs w:val="24"/>
        </w:rPr>
        <w:t xml:space="preserve"> ceratopsid subfamily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75.139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90.52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94.4719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96.3631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97.5916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98.6548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99.17459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99.55529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99.79276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99.93071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0.053093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99.9838</w:t>
            </w:r>
          </w:p>
        </w:tc>
      </w:tr>
      <w:tr w:rsidR="009719F2" w:rsidRPr="00C368F2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C368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17"/>
          <w:footerReference w:type="default" r:id="rId18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F2478F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F2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F2478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719F2" w:rsidRPr="00F2478F">
        <w:rPr>
          <w:rFonts w:ascii="Times New Roman" w:hAnsi="Times New Roman" w:cs="Times New Roman"/>
          <w:sz w:val="24"/>
          <w:szCs w:val="24"/>
        </w:rPr>
        <w:t>Variable</w:t>
      </w:r>
      <w:r w:rsidR="009719F2">
        <w:rPr>
          <w:rFonts w:ascii="Times New Roman" w:hAnsi="Times New Roman" w:cs="Times New Roman"/>
          <w:sz w:val="24"/>
          <w:szCs w:val="24"/>
        </w:rPr>
        <w:t xml:space="preserve"> loadings for the time-averaged,</w:t>
      </w:r>
      <w:r w:rsidR="009719F2" w:rsidRPr="00F2478F">
        <w:rPr>
          <w:rFonts w:ascii="Times New Roman" w:hAnsi="Times New Roman" w:cs="Times New Roman"/>
          <w:sz w:val="24"/>
          <w:szCs w:val="24"/>
        </w:rPr>
        <w:t xml:space="preserve"> ceratopsid subfamily PCA.</w:t>
      </w:r>
      <w:proofErr w:type="gramEnd"/>
    </w:p>
    <w:tbl>
      <w:tblPr>
        <w:tblW w:w="12563" w:type="dxa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0.3003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-0.8565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0.1675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-0.0078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-0.0206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0.1820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-0.0063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0.1116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0.3105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-0.0378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-0.0601</w:t>
            </w:r>
          </w:p>
        </w:tc>
      </w:tr>
      <w:tr w:rsidR="009719F2" w:rsidRPr="00F2478F" w:rsidTr="00A44B5B">
        <w:trPr>
          <w:trHeight w:val="300"/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F2478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19"/>
          <w:footerReference w:type="default" r:id="rId20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3F19F0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3F1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>
        <w:rPr>
          <w:rFonts w:ascii="Times New Roman" w:hAnsi="Times New Roman" w:cs="Times New Roman"/>
          <w:sz w:val="24"/>
          <w:szCs w:val="24"/>
        </w:rPr>
        <w:t>9</w:t>
      </w:r>
      <w:r w:rsidR="009719F2" w:rsidRPr="003F19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9F2">
        <w:rPr>
          <w:rFonts w:ascii="Times New Roman" w:hAnsi="Times New Roman" w:cs="Times New Roman"/>
          <w:sz w:val="24"/>
          <w:szCs w:val="24"/>
        </w:rPr>
        <w:t>Results for the time-averaged,</w:t>
      </w:r>
      <w:r w:rsidR="009719F2" w:rsidRPr="003F19F0">
        <w:rPr>
          <w:rFonts w:ascii="Times New Roman" w:hAnsi="Times New Roman" w:cs="Times New Roman"/>
          <w:sz w:val="24"/>
          <w:szCs w:val="24"/>
        </w:rPr>
        <w:t xml:space="preserve"> hadrosaurid subfamily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46.168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82.451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90.1882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93.2094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95.7897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97.226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98.17031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98.86942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99.36657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99.80566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99.94898</w:t>
            </w:r>
          </w:p>
        </w:tc>
      </w:tr>
      <w:tr w:rsidR="009719F2" w:rsidRPr="003F19F0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F19F0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21"/>
          <w:footerReference w:type="default" r:id="rId22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C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>
        <w:rPr>
          <w:rFonts w:ascii="Times New Roman" w:hAnsi="Times New Roman" w:cs="Times New Roman"/>
          <w:sz w:val="24"/>
          <w:szCs w:val="24"/>
        </w:rPr>
        <w:t>10</w:t>
      </w:r>
      <w:r w:rsidR="009719F2" w:rsidRPr="00CC1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9F2" w:rsidRPr="00CC1A88">
        <w:rPr>
          <w:rFonts w:ascii="Times New Roman" w:hAnsi="Times New Roman" w:cs="Times New Roman"/>
          <w:sz w:val="24"/>
          <w:szCs w:val="24"/>
        </w:rPr>
        <w:t>Variable loadings for the time-averaged, hadrosaurid subfamily PCA.</w:t>
      </w:r>
      <w:proofErr w:type="gramEnd"/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616D8E" w:rsidTr="00A44B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-0.7574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0.4351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0.4578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-0.0377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-0.0197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-0.0371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0.0183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-0.1383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0.0376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0.0474</w:t>
            </w:r>
          </w:p>
        </w:tc>
      </w:tr>
      <w:tr w:rsidR="009719F2" w:rsidRPr="00616D8E" w:rsidTr="00A44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616D8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0.0336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23"/>
          <w:footerReference w:type="default" r:id="rId24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A923CF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A9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>
        <w:rPr>
          <w:rFonts w:ascii="Times New Roman" w:hAnsi="Times New Roman" w:cs="Times New Roman"/>
          <w:sz w:val="24"/>
          <w:szCs w:val="24"/>
        </w:rPr>
        <w:t>11</w:t>
      </w:r>
      <w:r w:rsidR="009719F2" w:rsidRPr="00A923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9F2" w:rsidRPr="00A923CF">
        <w:rPr>
          <w:rFonts w:ascii="Times New Roman" w:hAnsi="Times New Roman" w:cs="Times New Roman"/>
          <w:sz w:val="24"/>
          <w:szCs w:val="24"/>
        </w:rPr>
        <w:t>Results for the time-averaged, hadrosaurid genus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46.304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82.181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90.0463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93.1142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95.7528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97.2008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98.15737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98.87339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99.35855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99.80241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99.94836</w:t>
            </w:r>
          </w:p>
        </w:tc>
      </w:tr>
      <w:tr w:rsidR="009719F2" w:rsidRPr="00A923CF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8.17x10</w:t>
            </w: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923C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25"/>
          <w:footerReference w:type="default" r:id="rId26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577058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</w:t>
      </w:r>
      <w:r w:rsidR="008A5641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19F2" w:rsidRPr="005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57705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9719F2" w:rsidRPr="00577058">
        <w:rPr>
          <w:rFonts w:ascii="Times New Roman" w:hAnsi="Times New Roman" w:cs="Times New Roman"/>
          <w:sz w:val="24"/>
          <w:szCs w:val="24"/>
        </w:rPr>
        <w:t>Variable loadings for the time-averaged, hadrosaurid genus PCA.</w:t>
      </w:r>
      <w:proofErr w:type="gramEnd"/>
    </w:p>
    <w:tbl>
      <w:tblPr>
        <w:tblW w:w="12563" w:type="dxa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577058" w:rsidTr="00A44B5B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-0.7580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0.4359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0.4565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-0.0373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0.0022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-0.0194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-0.0363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0.0181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-0.1377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0.0380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-0.5754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0.0457</w:t>
            </w:r>
          </w:p>
        </w:tc>
      </w:tr>
      <w:tr w:rsidR="009719F2" w:rsidRPr="00577058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577058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0.0326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27"/>
          <w:footerReference w:type="default" r:id="rId28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AD6709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AD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AD670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719F2">
        <w:rPr>
          <w:rFonts w:ascii="Times New Roman" w:hAnsi="Times New Roman" w:cs="Times New Roman"/>
          <w:sz w:val="24"/>
          <w:szCs w:val="24"/>
        </w:rPr>
        <w:t>Variable loadings</w:t>
      </w:r>
      <w:r w:rsidR="009719F2" w:rsidRPr="00AD6709">
        <w:rPr>
          <w:rFonts w:ascii="Times New Roman" w:hAnsi="Times New Roman" w:cs="Times New Roman"/>
          <w:sz w:val="24"/>
          <w:szCs w:val="24"/>
        </w:rPr>
        <w:t xml:space="preserve"> for the time-averaged, hadrosaurid genus DFA.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116"/>
        <w:gridCol w:w="1076"/>
        <w:gridCol w:w="1076"/>
      </w:tblGrid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-0.37033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0.60709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0.1243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0.030212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-0.35577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0.67517</w:t>
            </w:r>
          </w:p>
        </w:tc>
      </w:tr>
      <w:tr w:rsidR="009719F2" w:rsidRPr="00AD670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D670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-0.03555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29"/>
          <w:footerReference w:type="default" r:id="rId30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8F0DBE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8F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8F0DB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9719F2" w:rsidRPr="008F0DBE">
        <w:rPr>
          <w:rFonts w:ascii="Times New Roman" w:hAnsi="Times New Roman" w:cs="Times New Roman"/>
          <w:sz w:val="24"/>
          <w:szCs w:val="24"/>
        </w:rPr>
        <w:t>Results for the MAZ-1, 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8F0DBE">
        <w:rPr>
          <w:rFonts w:ascii="Times New Roman" w:hAnsi="Times New Roman" w:cs="Times New Roman"/>
          <w:sz w:val="24"/>
          <w:szCs w:val="24"/>
        </w:rPr>
        <w:t>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46.223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81.948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88.5139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92.7722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95.1646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97.3915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98.4108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99.16028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99.63636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99.87691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0.098723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99.97563</w:t>
            </w:r>
          </w:p>
        </w:tc>
      </w:tr>
      <w:tr w:rsidR="009719F2" w:rsidRPr="008F0DBE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F0DBE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4C1EB4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4C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4C1EB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9719F2" w:rsidRPr="004C1EB4">
        <w:rPr>
          <w:rFonts w:ascii="Times New Roman" w:hAnsi="Times New Roman" w:cs="Times New Roman"/>
          <w:sz w:val="24"/>
          <w:szCs w:val="24"/>
        </w:rPr>
        <w:t>Variable loadings for the MAZ-1, 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4C1EB4">
        <w:rPr>
          <w:rFonts w:ascii="Times New Roman" w:hAnsi="Times New Roman" w:cs="Times New Roman"/>
          <w:sz w:val="24"/>
          <w:szCs w:val="24"/>
        </w:rPr>
        <w:t>PCA.</w:t>
      </w:r>
      <w:proofErr w:type="gramEnd"/>
    </w:p>
    <w:tbl>
      <w:tblPr>
        <w:tblW w:w="12480" w:type="dxa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0.7923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-0.5916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-0.0927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-0.0019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0.0060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-0.0988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-0.0084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0.0389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0.0301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-0.0302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-0.2161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-0.0200</w:t>
            </w:r>
          </w:p>
        </w:tc>
      </w:tr>
      <w:tr w:rsidR="009719F2" w:rsidRPr="004C1EB4" w:rsidTr="00A44B5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4C1EB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-0.0124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31"/>
          <w:footerReference w:type="default" r:id="rId32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87739A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87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87739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719F2">
        <w:rPr>
          <w:rFonts w:ascii="Times New Roman" w:hAnsi="Times New Roman" w:cs="Times New Roman"/>
          <w:sz w:val="24"/>
          <w:szCs w:val="24"/>
        </w:rPr>
        <w:t>Variable loadings</w:t>
      </w:r>
      <w:r w:rsidR="009719F2" w:rsidRPr="0087739A">
        <w:rPr>
          <w:rFonts w:ascii="Times New Roman" w:hAnsi="Times New Roman" w:cs="Times New Roman"/>
          <w:sz w:val="24"/>
          <w:szCs w:val="24"/>
        </w:rPr>
        <w:t xml:space="preserve"> for the MAZ-1, 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87739A">
        <w:rPr>
          <w:rFonts w:ascii="Times New Roman" w:hAnsi="Times New Roman" w:cs="Times New Roman"/>
          <w:sz w:val="24"/>
          <w:szCs w:val="24"/>
        </w:rPr>
        <w:t>DFA.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076"/>
        <w:gridCol w:w="1076"/>
      </w:tblGrid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-1.6196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1.6046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-0.17758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-0.96599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-0.62823</w:t>
            </w:r>
          </w:p>
        </w:tc>
      </w:tr>
      <w:tr w:rsidR="009719F2" w:rsidRPr="0087739A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7739A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0.20387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33"/>
          <w:footerReference w:type="default" r:id="rId34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7C1674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7C1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7C167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9719F2" w:rsidRPr="007C1674">
        <w:rPr>
          <w:rFonts w:ascii="Times New Roman" w:hAnsi="Times New Roman" w:cs="Times New Roman"/>
          <w:sz w:val="24"/>
          <w:szCs w:val="24"/>
        </w:rPr>
        <w:t>Results for the MAZ-1, ceratopsid subfamily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7C1674" w:rsidTr="00A44B5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54.316</w:t>
            </w:r>
          </w:p>
        </w:tc>
      </w:tr>
      <w:tr w:rsidR="009719F2" w:rsidRPr="007C1674" w:rsidTr="00A44B5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86.73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94.0811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96.6129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98.1031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99.3549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99.7351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99.91303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99.98037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0.013431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99.99381</w:t>
            </w:r>
          </w:p>
        </w:tc>
      </w:tr>
      <w:tr w:rsidR="009719F2" w:rsidRPr="007C167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1.3210</w:t>
            </w: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C167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25547F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255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25547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9719F2" w:rsidRPr="0025547F">
        <w:rPr>
          <w:rFonts w:ascii="Times New Roman" w:hAnsi="Times New Roman" w:cs="Times New Roman"/>
          <w:sz w:val="24"/>
          <w:szCs w:val="24"/>
        </w:rPr>
        <w:t>Variable loadings for the MAZ-1, ceratopsid subfamily PCA.</w:t>
      </w:r>
      <w:proofErr w:type="gramEnd"/>
    </w:p>
    <w:tbl>
      <w:tblPr>
        <w:tblW w:w="12563" w:type="dxa"/>
        <w:tblInd w:w="9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19F2" w:rsidRPr="0025547F" w:rsidTr="00A44B5B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25547F" w:rsidTr="00A44B5B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0.1664</w:t>
            </w:r>
          </w:p>
        </w:tc>
      </w:tr>
      <w:tr w:rsidR="009719F2" w:rsidRPr="0025547F" w:rsidTr="00A44B5B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0.6484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-0.1953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-0.0472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0.1050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-0.2682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0.3468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-0.0168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-0.4507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0.0562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0.1803</w:t>
            </w:r>
          </w:p>
        </w:tc>
      </w:tr>
      <w:tr w:rsidR="009719F2" w:rsidRPr="0025547F" w:rsidTr="00A44B5B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25547F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-0.2632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35"/>
          <w:footerReference w:type="default" r:id="rId36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842CE9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84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842CE9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9719F2" w:rsidRPr="00842CE9">
        <w:rPr>
          <w:rFonts w:ascii="Times New Roman" w:hAnsi="Times New Roman" w:cs="Times New Roman"/>
          <w:sz w:val="24"/>
          <w:szCs w:val="24"/>
        </w:rPr>
        <w:t>Results for the MAZ-1, hadrosaurid subfamily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45.981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77.651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86.2478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90.6884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94.7114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97.0353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98.0762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98.90923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99.45072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99.86531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99.96779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37"/>
          <w:footerReference w:type="default" r:id="rId38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842CE9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84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842CE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9719F2" w:rsidRPr="00842CE9">
        <w:rPr>
          <w:rFonts w:ascii="Times New Roman" w:hAnsi="Times New Roman" w:cs="Times New Roman"/>
          <w:sz w:val="24"/>
          <w:szCs w:val="24"/>
        </w:rPr>
        <w:t>Variable loadings for the MAZ-1, hadrosaurid subfamily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87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-0.7566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0.3899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0.4470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0.0460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-0.1263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0.0111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-0.0609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-0.1710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0.0564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0.1445</w:t>
            </w:r>
          </w:p>
        </w:tc>
      </w:tr>
      <w:tr w:rsidR="009719F2" w:rsidRPr="00842CE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842CE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0.0242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39"/>
          <w:footerReference w:type="default" r:id="rId40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1A6D83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1A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1A6D8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9719F2" w:rsidRPr="001A6D83">
        <w:rPr>
          <w:rFonts w:ascii="Times New Roman" w:hAnsi="Times New Roman" w:cs="Times New Roman"/>
          <w:sz w:val="24"/>
          <w:szCs w:val="24"/>
        </w:rPr>
        <w:t>Results for the MAZ-1, hadrosaurid genus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47.492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77.817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86.3086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90.9084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94.7082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97.0726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98.1309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98.92905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99.47967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99.87255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0.096682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99.96923</w:t>
            </w:r>
          </w:p>
        </w:tc>
      </w:tr>
      <w:tr w:rsidR="009719F2" w:rsidRPr="001A6D8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3.41x10</w:t>
            </w: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1A6D8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41"/>
          <w:footerReference w:type="default" r:id="rId42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994F31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99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994F3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="009719F2" w:rsidRPr="00994F31">
        <w:rPr>
          <w:rFonts w:ascii="Times New Roman" w:hAnsi="Times New Roman" w:cs="Times New Roman"/>
          <w:sz w:val="24"/>
          <w:szCs w:val="24"/>
        </w:rPr>
        <w:t>Variable loadings for the MAZ-1, hadrosaurid genus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87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0.7341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-0.3561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-0.4791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-0.0513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-0.0008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0.1618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-0.0203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0.0699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0.1956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-0.0567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-0.1696</w:t>
            </w:r>
          </w:p>
        </w:tc>
      </w:tr>
      <w:tr w:rsidR="009719F2" w:rsidRPr="00994F31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994F31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-0.0224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43"/>
          <w:footerReference w:type="default" r:id="rId44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A616A4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A61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A616A4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9719F2">
        <w:rPr>
          <w:rFonts w:ascii="Times New Roman" w:hAnsi="Times New Roman" w:cs="Times New Roman"/>
          <w:sz w:val="24"/>
          <w:szCs w:val="24"/>
        </w:rPr>
        <w:t>Variable loadings</w:t>
      </w:r>
      <w:r w:rsidR="009719F2" w:rsidRPr="00A616A4">
        <w:rPr>
          <w:rFonts w:ascii="Times New Roman" w:hAnsi="Times New Roman" w:cs="Times New Roman"/>
          <w:sz w:val="24"/>
          <w:szCs w:val="24"/>
        </w:rPr>
        <w:t xml:space="preserve"> for the MAZ-1, hadrosaurid genus DFA.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116"/>
        <w:gridCol w:w="1116"/>
      </w:tblGrid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-0.63136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-0.01857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0.45839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0.57246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0.077951</w:t>
            </w:r>
          </w:p>
        </w:tc>
      </w:tr>
      <w:tr w:rsidR="009719F2" w:rsidRPr="00A616A4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A616A4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-0.16457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45"/>
          <w:footerReference w:type="default" r:id="rId46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7721D3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77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7721D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="009719F2" w:rsidRPr="007721D3">
        <w:rPr>
          <w:rFonts w:ascii="Times New Roman" w:hAnsi="Times New Roman" w:cs="Times New Roman"/>
          <w:sz w:val="24"/>
          <w:szCs w:val="24"/>
        </w:rPr>
        <w:t>Results for the MAZ-2, suborder/family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7721D3">
        <w:rPr>
          <w:rFonts w:ascii="Times New Roman" w:hAnsi="Times New Roman" w:cs="Times New Roman"/>
          <w:sz w:val="24"/>
          <w:szCs w:val="24"/>
        </w:rPr>
        <w:t>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79.594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94.736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96.3926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97.7121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98.64966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99.23908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99.58311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99.73845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99.84235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99.9422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0.047282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99.98948</w:t>
            </w:r>
          </w:p>
        </w:tc>
      </w:tr>
      <w:tr w:rsidR="009719F2" w:rsidRPr="007721D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721D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7F7543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7F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7F7543">
        <w:rPr>
          <w:rFonts w:ascii="Times New Roman" w:hAnsi="Times New Roman" w:cs="Times New Roman"/>
          <w:sz w:val="24"/>
          <w:szCs w:val="24"/>
        </w:rPr>
        <w:t>25. Variable loadings for the MAZ-2, family</w:t>
      </w:r>
      <w:r w:rsidR="009719F2">
        <w:rPr>
          <w:rFonts w:ascii="Times New Roman" w:hAnsi="Times New Roman" w:cs="Times New Roman"/>
          <w:sz w:val="24"/>
          <w:szCs w:val="24"/>
        </w:rPr>
        <w:t xml:space="preserve"> level </w:t>
      </w:r>
      <w:r w:rsidR="009719F2" w:rsidRPr="007F7543">
        <w:rPr>
          <w:rFonts w:ascii="Times New Roman" w:hAnsi="Times New Roman" w:cs="Times New Roman"/>
          <w:sz w:val="24"/>
          <w:szCs w:val="24"/>
        </w:rPr>
        <w:t>PCA.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956"/>
        <w:gridCol w:w="87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-0.6576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0.6220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0.2229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-0.0241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0.0467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-0.2447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-0.0891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0.1721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-0.0280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0.1164</w:t>
            </w:r>
          </w:p>
        </w:tc>
      </w:tr>
      <w:tr w:rsidR="009719F2" w:rsidRPr="007F7543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7F7543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0.1282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47"/>
          <w:footerReference w:type="default" r:id="rId48"/>
          <w:pgSz w:w="15840" w:h="12240" w:orient="landscape" w:code="1"/>
          <w:pgMar w:top="2160" w:right="1440" w:bottom="1440" w:left="1440" w:header="1298" w:footer="720" w:gutter="0"/>
          <w:cols w:space="720"/>
          <w:vAlign w:val="center"/>
          <w:docGrid w:linePitch="299"/>
        </w:sectPr>
      </w:pPr>
    </w:p>
    <w:p w:rsidR="009719F2" w:rsidRPr="00BD03AC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BD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BD03AC">
        <w:rPr>
          <w:rFonts w:ascii="Times New Roman" w:hAnsi="Times New Roman" w:cs="Times New Roman"/>
          <w:sz w:val="24"/>
          <w:szCs w:val="24"/>
        </w:rPr>
        <w:t>2</w:t>
      </w:r>
      <w:r w:rsidR="009719F2">
        <w:rPr>
          <w:rFonts w:ascii="Times New Roman" w:hAnsi="Times New Roman" w:cs="Times New Roman"/>
          <w:sz w:val="24"/>
          <w:szCs w:val="24"/>
        </w:rPr>
        <w:t>6</w:t>
      </w:r>
      <w:r w:rsidR="009719F2" w:rsidRPr="00BD03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9F2" w:rsidRPr="00BD03AC">
        <w:rPr>
          <w:rFonts w:ascii="Times New Roman" w:hAnsi="Times New Roman" w:cs="Times New Roman"/>
          <w:sz w:val="24"/>
          <w:szCs w:val="24"/>
        </w:rPr>
        <w:t>Results for the MAZ-2, hadrosaurid genus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296"/>
        <w:gridCol w:w="1289"/>
        <w:gridCol w:w="2469"/>
      </w:tblGrid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variance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68.575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87.186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93.6552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96.3266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98.0089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99.0866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99.57986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99.85017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99.99025</w:t>
            </w:r>
          </w:p>
        </w:tc>
      </w:tr>
      <w:tr w:rsidR="009719F2" w:rsidRPr="00BD03AC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1.32x10</w:t>
            </w: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BD03AC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19F2" w:rsidRPr="00CC1A88" w:rsidSect="00A44B5B">
          <w:headerReference w:type="default" r:id="rId49"/>
          <w:footerReference w:type="default" r:id="rId50"/>
          <w:pgSz w:w="12240" w:h="15840" w:code="1"/>
          <w:pgMar w:top="1440" w:right="1440" w:bottom="1440" w:left="2160" w:header="1298" w:footer="720" w:gutter="0"/>
          <w:cols w:space="720"/>
          <w:vAlign w:val="center"/>
          <w:docGrid w:linePitch="299"/>
        </w:sectPr>
      </w:pPr>
    </w:p>
    <w:p w:rsidR="009719F2" w:rsidRPr="003A7189" w:rsidRDefault="00044A52" w:rsidP="009719F2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9719F2" w:rsidRPr="003A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19F2" w:rsidRPr="003A7189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9719F2" w:rsidRPr="003A7189">
        <w:rPr>
          <w:rFonts w:ascii="Times New Roman" w:hAnsi="Times New Roman" w:cs="Times New Roman"/>
          <w:sz w:val="24"/>
          <w:szCs w:val="24"/>
        </w:rPr>
        <w:t>Variable loadings for the MAZ-2, hadrosaurid genus PCA.</w:t>
      </w:r>
      <w:proofErr w:type="gramEnd"/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043"/>
        <w:gridCol w:w="87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-0.3216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0.2736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-0.0101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-0.2031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-0.0631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-0.2034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0.4493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0.6554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0.1353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-0.0765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-0.6043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-0.0631</w:t>
            </w:r>
          </w:p>
        </w:tc>
      </w:tr>
      <w:tr w:rsidR="009719F2" w:rsidRPr="003A7189" w:rsidTr="00A44B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9F2" w:rsidRPr="003A7189" w:rsidRDefault="009719F2" w:rsidP="00A4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-0.2746</w:t>
            </w:r>
          </w:p>
        </w:tc>
      </w:tr>
    </w:tbl>
    <w:p w:rsidR="009719F2" w:rsidRPr="00CC1A88" w:rsidRDefault="009719F2" w:rsidP="00971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63B" w:rsidRPr="009719F2" w:rsidRDefault="0087563B" w:rsidP="009719F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563B" w:rsidRPr="009719F2" w:rsidSect="00A44B5B">
      <w:headerReference w:type="default" r:id="rId51"/>
      <w:footerReference w:type="default" r:id="rId52"/>
      <w:pgSz w:w="15840" w:h="12240" w:orient="landscape" w:code="1"/>
      <w:pgMar w:top="2160" w:right="1440" w:bottom="1440" w:left="1440" w:header="1298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1D" w:rsidRDefault="00BD591D" w:rsidP="00411865">
      <w:pPr>
        <w:spacing w:after="0" w:line="240" w:lineRule="auto"/>
      </w:pPr>
      <w:r>
        <w:separator/>
      </w:r>
    </w:p>
  </w:endnote>
  <w:endnote w:type="continuationSeparator" w:id="0">
    <w:p w:rsidR="00BD591D" w:rsidRDefault="00BD591D" w:rsidP="0041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98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99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86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2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826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269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89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51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6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60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7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966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597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40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17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0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77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4CD" w:rsidRDefault="00711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D2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14CD" w:rsidRDefault="00711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1D" w:rsidRDefault="00BD591D" w:rsidP="00411865">
      <w:pPr>
        <w:spacing w:after="0" w:line="240" w:lineRule="auto"/>
      </w:pPr>
      <w:r>
        <w:separator/>
      </w:r>
    </w:p>
  </w:footnote>
  <w:footnote w:type="continuationSeparator" w:id="0">
    <w:p w:rsidR="00BD591D" w:rsidRDefault="00BD591D" w:rsidP="0041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D" w:rsidRDefault="007114CD" w:rsidP="00A44B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2688C"/>
    <w:multiLevelType w:val="hybridMultilevel"/>
    <w:tmpl w:val="F3A8205C"/>
    <w:lvl w:ilvl="0" w:tplc="5DAA98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11"/>
  </w:num>
  <w:num w:numId="9">
    <w:abstractNumId w:val="20"/>
  </w:num>
  <w:num w:numId="10">
    <w:abstractNumId w:val="10"/>
  </w:num>
  <w:num w:numId="11">
    <w:abstractNumId w:val="19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6"/>
    <w:rsid w:val="000076E0"/>
    <w:rsid w:val="00010AE4"/>
    <w:rsid w:val="00013B40"/>
    <w:rsid w:val="00017C59"/>
    <w:rsid w:val="00026E33"/>
    <w:rsid w:val="00031C07"/>
    <w:rsid w:val="000367AB"/>
    <w:rsid w:val="000407AC"/>
    <w:rsid w:val="00044A52"/>
    <w:rsid w:val="00046F3C"/>
    <w:rsid w:val="00060477"/>
    <w:rsid w:val="00062FF2"/>
    <w:rsid w:val="0006404E"/>
    <w:rsid w:val="00064EA0"/>
    <w:rsid w:val="00077716"/>
    <w:rsid w:val="00083DE7"/>
    <w:rsid w:val="0009396B"/>
    <w:rsid w:val="00097C84"/>
    <w:rsid w:val="000A3562"/>
    <w:rsid w:val="000A5BAD"/>
    <w:rsid w:val="000A676E"/>
    <w:rsid w:val="000A757F"/>
    <w:rsid w:val="000B1632"/>
    <w:rsid w:val="000C133D"/>
    <w:rsid w:val="000C4FE2"/>
    <w:rsid w:val="000D107A"/>
    <w:rsid w:val="000D2D10"/>
    <w:rsid w:val="000E293B"/>
    <w:rsid w:val="000E5948"/>
    <w:rsid w:val="000E690F"/>
    <w:rsid w:val="000F5D2B"/>
    <w:rsid w:val="000F7748"/>
    <w:rsid w:val="000F7D89"/>
    <w:rsid w:val="001006AA"/>
    <w:rsid w:val="00112B82"/>
    <w:rsid w:val="00117D51"/>
    <w:rsid w:val="00120A44"/>
    <w:rsid w:val="00125665"/>
    <w:rsid w:val="00134C51"/>
    <w:rsid w:val="00137084"/>
    <w:rsid w:val="001443CF"/>
    <w:rsid w:val="00164965"/>
    <w:rsid w:val="00173B8D"/>
    <w:rsid w:val="00186E5C"/>
    <w:rsid w:val="0019613C"/>
    <w:rsid w:val="001A3F66"/>
    <w:rsid w:val="001A7223"/>
    <w:rsid w:val="001B342F"/>
    <w:rsid w:val="001C53B4"/>
    <w:rsid w:val="001D4294"/>
    <w:rsid w:val="001D7CBD"/>
    <w:rsid w:val="0020117C"/>
    <w:rsid w:val="00203C22"/>
    <w:rsid w:val="00212BCB"/>
    <w:rsid w:val="00221BE7"/>
    <w:rsid w:val="00225F84"/>
    <w:rsid w:val="002264B6"/>
    <w:rsid w:val="002428AE"/>
    <w:rsid w:val="00247576"/>
    <w:rsid w:val="0027031E"/>
    <w:rsid w:val="00271B37"/>
    <w:rsid w:val="0027331C"/>
    <w:rsid w:val="00277C7E"/>
    <w:rsid w:val="0028148B"/>
    <w:rsid w:val="002852EB"/>
    <w:rsid w:val="002867A6"/>
    <w:rsid w:val="00286A4B"/>
    <w:rsid w:val="00296EF7"/>
    <w:rsid w:val="002A3C7B"/>
    <w:rsid w:val="002A7703"/>
    <w:rsid w:val="002C1CC5"/>
    <w:rsid w:val="002C63E5"/>
    <w:rsid w:val="002D017B"/>
    <w:rsid w:val="002D3991"/>
    <w:rsid w:val="002D622F"/>
    <w:rsid w:val="002E5C3A"/>
    <w:rsid w:val="002F297B"/>
    <w:rsid w:val="00301012"/>
    <w:rsid w:val="00310354"/>
    <w:rsid w:val="00326678"/>
    <w:rsid w:val="00327FF6"/>
    <w:rsid w:val="003505CE"/>
    <w:rsid w:val="0036200F"/>
    <w:rsid w:val="0036344B"/>
    <w:rsid w:val="003635CA"/>
    <w:rsid w:val="00364CC1"/>
    <w:rsid w:val="0036769B"/>
    <w:rsid w:val="003722C1"/>
    <w:rsid w:val="003778AB"/>
    <w:rsid w:val="0038155A"/>
    <w:rsid w:val="00381797"/>
    <w:rsid w:val="0038301B"/>
    <w:rsid w:val="00387C1D"/>
    <w:rsid w:val="00392790"/>
    <w:rsid w:val="0039538C"/>
    <w:rsid w:val="00397899"/>
    <w:rsid w:val="003A216A"/>
    <w:rsid w:val="003A23F5"/>
    <w:rsid w:val="003A6DFC"/>
    <w:rsid w:val="003B6C3E"/>
    <w:rsid w:val="003C031C"/>
    <w:rsid w:val="003C0A59"/>
    <w:rsid w:val="003C4A01"/>
    <w:rsid w:val="003D4971"/>
    <w:rsid w:val="003D502F"/>
    <w:rsid w:val="003E5587"/>
    <w:rsid w:val="003E78A6"/>
    <w:rsid w:val="003F0D05"/>
    <w:rsid w:val="003F24DE"/>
    <w:rsid w:val="003F4678"/>
    <w:rsid w:val="003F5A85"/>
    <w:rsid w:val="00411865"/>
    <w:rsid w:val="00434EE8"/>
    <w:rsid w:val="00441D23"/>
    <w:rsid w:val="00442BF5"/>
    <w:rsid w:val="00447B1B"/>
    <w:rsid w:val="00450B23"/>
    <w:rsid w:val="004649E5"/>
    <w:rsid w:val="00467024"/>
    <w:rsid w:val="00482C5C"/>
    <w:rsid w:val="004932A2"/>
    <w:rsid w:val="0049498A"/>
    <w:rsid w:val="00496943"/>
    <w:rsid w:val="00496B49"/>
    <w:rsid w:val="004A4345"/>
    <w:rsid w:val="004C1EC9"/>
    <w:rsid w:val="004C2ACC"/>
    <w:rsid w:val="004D3B4D"/>
    <w:rsid w:val="004D7FBE"/>
    <w:rsid w:val="004E4409"/>
    <w:rsid w:val="004E73B1"/>
    <w:rsid w:val="004F262A"/>
    <w:rsid w:val="004F7435"/>
    <w:rsid w:val="00500E93"/>
    <w:rsid w:val="00512484"/>
    <w:rsid w:val="005205FB"/>
    <w:rsid w:val="00534C6C"/>
    <w:rsid w:val="00534D00"/>
    <w:rsid w:val="00542CF6"/>
    <w:rsid w:val="00547640"/>
    <w:rsid w:val="0055038C"/>
    <w:rsid w:val="0055680F"/>
    <w:rsid w:val="0056040B"/>
    <w:rsid w:val="005610EE"/>
    <w:rsid w:val="0056635C"/>
    <w:rsid w:val="00567780"/>
    <w:rsid w:val="005911C0"/>
    <w:rsid w:val="005912EF"/>
    <w:rsid w:val="00592086"/>
    <w:rsid w:val="00592333"/>
    <w:rsid w:val="00597D04"/>
    <w:rsid w:val="005A30FC"/>
    <w:rsid w:val="005B2B37"/>
    <w:rsid w:val="005C091F"/>
    <w:rsid w:val="005C2C6E"/>
    <w:rsid w:val="005E7B0F"/>
    <w:rsid w:val="005F3E52"/>
    <w:rsid w:val="00600884"/>
    <w:rsid w:val="00603F22"/>
    <w:rsid w:val="00605805"/>
    <w:rsid w:val="0061162A"/>
    <w:rsid w:val="00612F92"/>
    <w:rsid w:val="00624CFA"/>
    <w:rsid w:val="00631F2D"/>
    <w:rsid w:val="0063378A"/>
    <w:rsid w:val="00637742"/>
    <w:rsid w:val="00667CCB"/>
    <w:rsid w:val="006821D8"/>
    <w:rsid w:val="00686A99"/>
    <w:rsid w:val="00693B3A"/>
    <w:rsid w:val="0069412E"/>
    <w:rsid w:val="006A300A"/>
    <w:rsid w:val="006C0F91"/>
    <w:rsid w:val="006C3622"/>
    <w:rsid w:val="006C6AFF"/>
    <w:rsid w:val="006D4197"/>
    <w:rsid w:val="006E7E97"/>
    <w:rsid w:val="006F1367"/>
    <w:rsid w:val="007047C0"/>
    <w:rsid w:val="00710973"/>
    <w:rsid w:val="007114CD"/>
    <w:rsid w:val="00711FD8"/>
    <w:rsid w:val="0071566B"/>
    <w:rsid w:val="0072310E"/>
    <w:rsid w:val="00727073"/>
    <w:rsid w:val="00731987"/>
    <w:rsid w:val="00732853"/>
    <w:rsid w:val="00741CD6"/>
    <w:rsid w:val="00741E52"/>
    <w:rsid w:val="007440E2"/>
    <w:rsid w:val="007460A5"/>
    <w:rsid w:val="00770CF6"/>
    <w:rsid w:val="00771568"/>
    <w:rsid w:val="00774221"/>
    <w:rsid w:val="00781D9C"/>
    <w:rsid w:val="007844FC"/>
    <w:rsid w:val="00785B5E"/>
    <w:rsid w:val="00790F93"/>
    <w:rsid w:val="00795065"/>
    <w:rsid w:val="007A1768"/>
    <w:rsid w:val="007A2A49"/>
    <w:rsid w:val="007B47A7"/>
    <w:rsid w:val="007B7D45"/>
    <w:rsid w:val="007C7837"/>
    <w:rsid w:val="007D11C6"/>
    <w:rsid w:val="007E362C"/>
    <w:rsid w:val="00814D8D"/>
    <w:rsid w:val="00840093"/>
    <w:rsid w:val="008426BC"/>
    <w:rsid w:val="0084621A"/>
    <w:rsid w:val="00854417"/>
    <w:rsid w:val="0087063E"/>
    <w:rsid w:val="0087563B"/>
    <w:rsid w:val="00880722"/>
    <w:rsid w:val="00897AF5"/>
    <w:rsid w:val="008A0E3D"/>
    <w:rsid w:val="008A5641"/>
    <w:rsid w:val="008A6F34"/>
    <w:rsid w:val="008C06F0"/>
    <w:rsid w:val="008C547F"/>
    <w:rsid w:val="008D307F"/>
    <w:rsid w:val="008D4A0F"/>
    <w:rsid w:val="008E15FE"/>
    <w:rsid w:val="008E7034"/>
    <w:rsid w:val="009257A6"/>
    <w:rsid w:val="00932C51"/>
    <w:rsid w:val="009434F6"/>
    <w:rsid w:val="00947277"/>
    <w:rsid w:val="0095180C"/>
    <w:rsid w:val="00956818"/>
    <w:rsid w:val="009708AB"/>
    <w:rsid w:val="009719F2"/>
    <w:rsid w:val="00975312"/>
    <w:rsid w:val="00983ACF"/>
    <w:rsid w:val="009A54BF"/>
    <w:rsid w:val="009A6BC3"/>
    <w:rsid w:val="009B7EED"/>
    <w:rsid w:val="009C4903"/>
    <w:rsid w:val="009D0F9E"/>
    <w:rsid w:val="009E10D5"/>
    <w:rsid w:val="009E31BE"/>
    <w:rsid w:val="009F137E"/>
    <w:rsid w:val="009F1E49"/>
    <w:rsid w:val="009F2525"/>
    <w:rsid w:val="009F4E48"/>
    <w:rsid w:val="00A0358B"/>
    <w:rsid w:val="00A04A14"/>
    <w:rsid w:val="00A05E58"/>
    <w:rsid w:val="00A11BFA"/>
    <w:rsid w:val="00A12746"/>
    <w:rsid w:val="00A32DEA"/>
    <w:rsid w:val="00A35C53"/>
    <w:rsid w:val="00A35C6B"/>
    <w:rsid w:val="00A44B5B"/>
    <w:rsid w:val="00A461DF"/>
    <w:rsid w:val="00A54D08"/>
    <w:rsid w:val="00A55061"/>
    <w:rsid w:val="00A60514"/>
    <w:rsid w:val="00A7069D"/>
    <w:rsid w:val="00AA2B7E"/>
    <w:rsid w:val="00AC1208"/>
    <w:rsid w:val="00AC1297"/>
    <w:rsid w:val="00AC163D"/>
    <w:rsid w:val="00AC2DC9"/>
    <w:rsid w:val="00AE1D90"/>
    <w:rsid w:val="00AF29DE"/>
    <w:rsid w:val="00AF7450"/>
    <w:rsid w:val="00AF7E39"/>
    <w:rsid w:val="00B22F97"/>
    <w:rsid w:val="00B55083"/>
    <w:rsid w:val="00B64206"/>
    <w:rsid w:val="00B66CE5"/>
    <w:rsid w:val="00B700B9"/>
    <w:rsid w:val="00B81934"/>
    <w:rsid w:val="00B82069"/>
    <w:rsid w:val="00B833BF"/>
    <w:rsid w:val="00B84C66"/>
    <w:rsid w:val="00B9614D"/>
    <w:rsid w:val="00BA0AC1"/>
    <w:rsid w:val="00BA2571"/>
    <w:rsid w:val="00BA475E"/>
    <w:rsid w:val="00BA6C31"/>
    <w:rsid w:val="00BB08AE"/>
    <w:rsid w:val="00BC3CB0"/>
    <w:rsid w:val="00BD591D"/>
    <w:rsid w:val="00BE0E9F"/>
    <w:rsid w:val="00BF0D3F"/>
    <w:rsid w:val="00BF2E5E"/>
    <w:rsid w:val="00BF3D71"/>
    <w:rsid w:val="00BF7156"/>
    <w:rsid w:val="00C11BE5"/>
    <w:rsid w:val="00C2432C"/>
    <w:rsid w:val="00C32927"/>
    <w:rsid w:val="00C40BB2"/>
    <w:rsid w:val="00C44E51"/>
    <w:rsid w:val="00C50998"/>
    <w:rsid w:val="00C52C11"/>
    <w:rsid w:val="00C56DA3"/>
    <w:rsid w:val="00C57DB4"/>
    <w:rsid w:val="00C636B9"/>
    <w:rsid w:val="00C6512F"/>
    <w:rsid w:val="00C70C0D"/>
    <w:rsid w:val="00C75AB9"/>
    <w:rsid w:val="00C84498"/>
    <w:rsid w:val="00C85E7A"/>
    <w:rsid w:val="00C97240"/>
    <w:rsid w:val="00CA6D56"/>
    <w:rsid w:val="00CB146C"/>
    <w:rsid w:val="00CC35F3"/>
    <w:rsid w:val="00CE78DB"/>
    <w:rsid w:val="00CF77B7"/>
    <w:rsid w:val="00D00DE5"/>
    <w:rsid w:val="00D14A2D"/>
    <w:rsid w:val="00D17D96"/>
    <w:rsid w:val="00D32FE6"/>
    <w:rsid w:val="00D4182C"/>
    <w:rsid w:val="00D47FCC"/>
    <w:rsid w:val="00D507E9"/>
    <w:rsid w:val="00D51DEE"/>
    <w:rsid w:val="00D60126"/>
    <w:rsid w:val="00D62D9F"/>
    <w:rsid w:val="00D653BD"/>
    <w:rsid w:val="00D715FB"/>
    <w:rsid w:val="00D72750"/>
    <w:rsid w:val="00D763D6"/>
    <w:rsid w:val="00D856B8"/>
    <w:rsid w:val="00D85FDF"/>
    <w:rsid w:val="00D9000E"/>
    <w:rsid w:val="00D93474"/>
    <w:rsid w:val="00D964F5"/>
    <w:rsid w:val="00DC7F27"/>
    <w:rsid w:val="00DD17D2"/>
    <w:rsid w:val="00DE3F9A"/>
    <w:rsid w:val="00DE5618"/>
    <w:rsid w:val="00DE6CDA"/>
    <w:rsid w:val="00E01E70"/>
    <w:rsid w:val="00E048C2"/>
    <w:rsid w:val="00E07065"/>
    <w:rsid w:val="00E11465"/>
    <w:rsid w:val="00E143FF"/>
    <w:rsid w:val="00E202AC"/>
    <w:rsid w:val="00E226CA"/>
    <w:rsid w:val="00E226EE"/>
    <w:rsid w:val="00E2318E"/>
    <w:rsid w:val="00E23D27"/>
    <w:rsid w:val="00E24806"/>
    <w:rsid w:val="00E3444A"/>
    <w:rsid w:val="00E47634"/>
    <w:rsid w:val="00E5153F"/>
    <w:rsid w:val="00E5548C"/>
    <w:rsid w:val="00E64652"/>
    <w:rsid w:val="00E65658"/>
    <w:rsid w:val="00E766A1"/>
    <w:rsid w:val="00E83221"/>
    <w:rsid w:val="00E84B37"/>
    <w:rsid w:val="00E91F37"/>
    <w:rsid w:val="00E9582E"/>
    <w:rsid w:val="00E95C32"/>
    <w:rsid w:val="00E972B2"/>
    <w:rsid w:val="00E979B4"/>
    <w:rsid w:val="00EA286B"/>
    <w:rsid w:val="00EA58B6"/>
    <w:rsid w:val="00EC3EAA"/>
    <w:rsid w:val="00EE1A8D"/>
    <w:rsid w:val="00EE52A9"/>
    <w:rsid w:val="00EF1C16"/>
    <w:rsid w:val="00F03F78"/>
    <w:rsid w:val="00F35350"/>
    <w:rsid w:val="00F437C7"/>
    <w:rsid w:val="00F50A2E"/>
    <w:rsid w:val="00F542AC"/>
    <w:rsid w:val="00F55B36"/>
    <w:rsid w:val="00F57650"/>
    <w:rsid w:val="00F61B62"/>
    <w:rsid w:val="00F63A37"/>
    <w:rsid w:val="00F64720"/>
    <w:rsid w:val="00F65E20"/>
    <w:rsid w:val="00F8512D"/>
    <w:rsid w:val="00F86D28"/>
    <w:rsid w:val="00F93FA8"/>
    <w:rsid w:val="00FA1CE4"/>
    <w:rsid w:val="00FA3BE5"/>
    <w:rsid w:val="00FA5F23"/>
    <w:rsid w:val="00FB05FE"/>
    <w:rsid w:val="00FC0C8E"/>
    <w:rsid w:val="00FC1561"/>
    <w:rsid w:val="00FC5C18"/>
    <w:rsid w:val="00FD01FB"/>
    <w:rsid w:val="00FD21B5"/>
    <w:rsid w:val="00FD6433"/>
    <w:rsid w:val="00FE406D"/>
    <w:rsid w:val="00FE47F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19F2"/>
    <w:pPr>
      <w:keepNext/>
      <w:tabs>
        <w:tab w:val="left" w:pos="1613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19F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19F2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19F2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719F2"/>
    <w:pPr>
      <w:spacing w:after="0" w:line="480" w:lineRule="auto"/>
      <w:outlineLvl w:val="4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719F2"/>
    <w:pPr>
      <w:spacing w:after="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719F2"/>
    <w:p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719F2"/>
    <w:pPr>
      <w:spacing w:after="0" w:line="48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719F2"/>
    <w:pPr>
      <w:spacing w:after="0" w:line="48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65"/>
  </w:style>
  <w:style w:type="paragraph" w:styleId="Footer">
    <w:name w:val="footer"/>
    <w:basedOn w:val="Normal"/>
    <w:link w:val="FooterChar"/>
    <w:uiPriority w:val="99"/>
    <w:unhideWhenUsed/>
    <w:rsid w:val="0041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65"/>
  </w:style>
  <w:style w:type="paragraph" w:customStyle="1" w:styleId="Paragraph">
    <w:name w:val="Paragraph"/>
    <w:basedOn w:val="Normal"/>
    <w:rsid w:val="0036769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E31BE"/>
  </w:style>
  <w:style w:type="paragraph" w:styleId="FootnoteText">
    <w:name w:val="footnote text"/>
    <w:basedOn w:val="Normal"/>
    <w:link w:val="FootnoteTextChar"/>
    <w:unhideWhenUsed/>
    <w:rsid w:val="0097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9F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719F2"/>
    <w:rPr>
      <w:vertAlign w:val="superscript"/>
    </w:rPr>
  </w:style>
  <w:style w:type="table" w:styleId="TableGrid">
    <w:name w:val="Table Grid"/>
    <w:basedOn w:val="TableNormal"/>
    <w:uiPriority w:val="59"/>
    <w:rsid w:val="0097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19F2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19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19F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19F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719F2"/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719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719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719F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719F2"/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1613" w:right="360" w:hanging="64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next w:val="Normal"/>
    <w:rsid w:val="009719F2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9719F2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9719F2"/>
    <w:pPr>
      <w:spacing w:after="120" w:line="240" w:lineRule="auto"/>
    </w:pPr>
    <w:rPr>
      <w:b/>
    </w:rPr>
  </w:style>
  <w:style w:type="character" w:styleId="PageNumber">
    <w:name w:val="page number"/>
    <w:basedOn w:val="DefaultParagraphFont"/>
    <w:rsid w:val="009719F2"/>
  </w:style>
  <w:style w:type="paragraph" w:styleId="TOC1">
    <w:name w:val="toc 1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semiHidden/>
    <w:rsid w:val="009719F2"/>
    <w:pPr>
      <w:tabs>
        <w:tab w:val="right" w:leader="dot" w:pos="8640"/>
      </w:tabs>
      <w:spacing w:before="240" w:after="0" w:line="240" w:lineRule="auto"/>
      <w:ind w:left="540" w:right="360" w:hanging="540"/>
    </w:pPr>
    <w:rPr>
      <w:rFonts w:ascii="Times New (W1)" w:eastAsia="Times New Roman" w:hAnsi="Times New (W1)" w:cs="Times New Roman"/>
      <w:caps/>
      <w:sz w:val="24"/>
      <w:szCs w:val="24"/>
    </w:rPr>
  </w:style>
  <w:style w:type="paragraph" w:styleId="TOC3">
    <w:name w:val="toc 3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720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1080" w:right="360" w:hanging="515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719F2"/>
    <w:pPr>
      <w:spacing w:after="0" w:line="48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719F2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719F2"/>
    <w:pPr>
      <w:spacing w:after="0" w:line="48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719F2"/>
    <w:pPr>
      <w:spacing w:after="0" w:line="48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719F2"/>
    <w:pPr>
      <w:spacing w:after="240" w:line="240" w:lineRule="auto"/>
      <w:ind w:left="475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ation">
    <w:name w:val="Quotation"/>
    <w:basedOn w:val="Normal"/>
    <w:next w:val="Normal"/>
    <w:rsid w:val="009719F2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9719F2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ontmatterheadingstyle">
    <w:name w:val="frontmatterheading style"/>
    <w:basedOn w:val="Normal"/>
    <w:rsid w:val="009719F2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rsid w:val="009719F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9719F2"/>
    <w:pPr>
      <w:shd w:val="clear" w:color="auto" w:fill="000080"/>
      <w:spacing w:after="0" w:line="48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719F2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9719F2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19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719F2"/>
    <w:rPr>
      <w:vertAlign w:val="superscript"/>
    </w:rPr>
  </w:style>
  <w:style w:type="paragraph" w:styleId="NormalWeb">
    <w:name w:val="Normal (Web)"/>
    <w:basedOn w:val="Normal"/>
    <w:rsid w:val="009719F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2C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19F2"/>
    <w:pPr>
      <w:keepNext/>
      <w:tabs>
        <w:tab w:val="left" w:pos="1613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19F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19F2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19F2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719F2"/>
    <w:pPr>
      <w:spacing w:after="0" w:line="480" w:lineRule="auto"/>
      <w:outlineLvl w:val="4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719F2"/>
    <w:pPr>
      <w:spacing w:after="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719F2"/>
    <w:p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719F2"/>
    <w:pPr>
      <w:spacing w:after="0" w:line="48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719F2"/>
    <w:pPr>
      <w:spacing w:after="0" w:line="48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65"/>
  </w:style>
  <w:style w:type="paragraph" w:styleId="Footer">
    <w:name w:val="footer"/>
    <w:basedOn w:val="Normal"/>
    <w:link w:val="FooterChar"/>
    <w:uiPriority w:val="99"/>
    <w:unhideWhenUsed/>
    <w:rsid w:val="0041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65"/>
  </w:style>
  <w:style w:type="paragraph" w:customStyle="1" w:styleId="Paragraph">
    <w:name w:val="Paragraph"/>
    <w:basedOn w:val="Normal"/>
    <w:rsid w:val="0036769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E31BE"/>
  </w:style>
  <w:style w:type="paragraph" w:styleId="FootnoteText">
    <w:name w:val="footnote text"/>
    <w:basedOn w:val="Normal"/>
    <w:link w:val="FootnoteTextChar"/>
    <w:unhideWhenUsed/>
    <w:rsid w:val="0097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9F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719F2"/>
    <w:rPr>
      <w:vertAlign w:val="superscript"/>
    </w:rPr>
  </w:style>
  <w:style w:type="table" w:styleId="TableGrid">
    <w:name w:val="Table Grid"/>
    <w:basedOn w:val="TableNormal"/>
    <w:uiPriority w:val="59"/>
    <w:rsid w:val="0097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719F2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19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19F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19F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719F2"/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719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719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719F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719F2"/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1613" w:right="360" w:hanging="64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next w:val="Normal"/>
    <w:rsid w:val="009719F2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9719F2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9719F2"/>
    <w:pPr>
      <w:spacing w:after="120" w:line="240" w:lineRule="auto"/>
    </w:pPr>
    <w:rPr>
      <w:b/>
    </w:rPr>
  </w:style>
  <w:style w:type="character" w:styleId="PageNumber">
    <w:name w:val="page number"/>
    <w:basedOn w:val="DefaultParagraphFont"/>
    <w:rsid w:val="009719F2"/>
  </w:style>
  <w:style w:type="paragraph" w:styleId="TOC1">
    <w:name w:val="toc 1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semiHidden/>
    <w:rsid w:val="009719F2"/>
    <w:pPr>
      <w:tabs>
        <w:tab w:val="right" w:leader="dot" w:pos="8640"/>
      </w:tabs>
      <w:spacing w:before="240" w:after="0" w:line="240" w:lineRule="auto"/>
      <w:ind w:left="540" w:right="360" w:hanging="540"/>
    </w:pPr>
    <w:rPr>
      <w:rFonts w:ascii="Times New (W1)" w:eastAsia="Times New Roman" w:hAnsi="Times New (W1)" w:cs="Times New Roman"/>
      <w:caps/>
      <w:sz w:val="24"/>
      <w:szCs w:val="24"/>
    </w:rPr>
  </w:style>
  <w:style w:type="paragraph" w:styleId="TOC3">
    <w:name w:val="toc 3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720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rsid w:val="009719F2"/>
    <w:pPr>
      <w:tabs>
        <w:tab w:val="right" w:leader="dot" w:pos="8640"/>
      </w:tabs>
      <w:spacing w:after="0" w:line="240" w:lineRule="auto"/>
      <w:ind w:left="1080" w:right="360" w:hanging="515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719F2"/>
    <w:pPr>
      <w:spacing w:after="0" w:line="48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719F2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719F2"/>
    <w:pPr>
      <w:spacing w:after="0" w:line="48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719F2"/>
    <w:pPr>
      <w:spacing w:after="0" w:line="48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719F2"/>
    <w:pPr>
      <w:spacing w:after="240" w:line="240" w:lineRule="auto"/>
      <w:ind w:left="475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ation">
    <w:name w:val="Quotation"/>
    <w:basedOn w:val="Normal"/>
    <w:next w:val="Normal"/>
    <w:rsid w:val="009719F2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9719F2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ontmatterheadingstyle">
    <w:name w:val="frontmatterheading style"/>
    <w:basedOn w:val="Normal"/>
    <w:rsid w:val="009719F2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rsid w:val="009719F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9719F2"/>
    <w:pPr>
      <w:shd w:val="clear" w:color="auto" w:fill="000080"/>
      <w:spacing w:after="0" w:line="48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719F2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9719F2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19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719F2"/>
    <w:rPr>
      <w:vertAlign w:val="superscript"/>
    </w:rPr>
  </w:style>
  <w:style w:type="paragraph" w:styleId="NormalWeb">
    <w:name w:val="Normal (Web)"/>
    <w:basedOn w:val="Normal"/>
    <w:rsid w:val="009719F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2C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endnotes" Target="endnotes.xml"/><Relationship Id="rId51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DC99-BA81-448E-BB9B-C7467B1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Mallon</dc:creator>
  <cp:lastModifiedBy>test</cp:lastModifiedBy>
  <cp:revision>8</cp:revision>
  <dcterms:created xsi:type="dcterms:W3CDTF">2013-05-22T17:42:00Z</dcterms:created>
  <dcterms:modified xsi:type="dcterms:W3CDTF">2013-06-07T14:56:00Z</dcterms:modified>
</cp:coreProperties>
</file>