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2" w:rsidRPr="00D72BA2" w:rsidRDefault="00D72BA2" w:rsidP="00D72BA2">
      <w:r w:rsidRPr="00D72BA2">
        <w:rPr>
          <w:b/>
        </w:rPr>
        <w:t xml:space="preserve">Table S1 </w:t>
      </w:r>
      <w:r w:rsidRPr="00D72BA2">
        <w:t xml:space="preserve">The association between covariables and muscle strength in men (N=2845). </w:t>
      </w:r>
    </w:p>
    <w:tbl>
      <w:tblPr>
        <w:tblW w:w="7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02"/>
        <w:gridCol w:w="2444"/>
        <w:gridCol w:w="2444"/>
      </w:tblGrid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b/>
              </w:rPr>
            </w:pPr>
            <w:r w:rsidRPr="00D72BA2">
              <w:rPr>
                <w:b/>
              </w:rPr>
              <w:t>Variable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pPr>
              <w:rPr>
                <w:b/>
              </w:rPr>
            </w:pPr>
            <w:r w:rsidRPr="00D72BA2">
              <w:rPr>
                <w:b/>
              </w:rPr>
              <w:t>N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pPr>
              <w:rPr>
                <w:b/>
              </w:rPr>
            </w:pPr>
            <w:r w:rsidRPr="00D72BA2">
              <w:rPr>
                <w:b/>
              </w:rPr>
              <w:t>Multivariate model</w:t>
            </w:r>
          </w:p>
          <w:p w:rsidR="00D72BA2" w:rsidRPr="00D72BA2" w:rsidRDefault="00D72BA2" w:rsidP="00D72BA2">
            <w:pPr>
              <w:rPr>
                <w:b/>
              </w:rPr>
            </w:pPr>
            <w:r w:rsidRPr="00D72BA2">
              <w:rPr>
                <w:b/>
              </w:rPr>
              <w:t>B (95% CI)</w:t>
            </w:r>
          </w:p>
        </w:tc>
        <w:tc>
          <w:tcPr>
            <w:tcW w:w="2444" w:type="dxa"/>
          </w:tcPr>
          <w:p w:rsidR="00D72BA2" w:rsidRPr="00D72BA2" w:rsidRDefault="00D72BA2" w:rsidP="00D72BA2">
            <w:pPr>
              <w:rPr>
                <w:b/>
              </w:rPr>
            </w:pPr>
            <w:r w:rsidRPr="00D72BA2">
              <w:rPr>
                <w:b/>
              </w:rPr>
              <w:t>Multivariate model</w:t>
            </w:r>
          </w:p>
          <w:p w:rsidR="00D72BA2" w:rsidRPr="00D72BA2" w:rsidRDefault="00D72BA2" w:rsidP="00D72BA2">
            <w:pPr>
              <w:rPr>
                <w:b/>
              </w:rPr>
            </w:pPr>
            <w:r w:rsidRPr="00D72BA2">
              <w:rPr>
                <w:b/>
              </w:rPr>
              <w:t>B (95% CI)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Physical activity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Hand grip (Kg)</w:t>
            </w:r>
          </w:p>
        </w:tc>
        <w:tc>
          <w:tcPr>
            <w:tcW w:w="2444" w:type="dxa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Chair stand time (secs)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Inactive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409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Reference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Reference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Moderate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1395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1.56 (0.64, 2.49)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-1.18 (-1.61, -0.75)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Vigorous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1041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2.89 (1.89, 3.88)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-1.84 (-2.30, -1.39)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p-trend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&lt;0.001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&lt;0.001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Smoking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</w:tcPr>
          <w:p w:rsidR="00D72BA2" w:rsidRPr="00D72BA2" w:rsidRDefault="00D72BA2" w:rsidP="00D72BA2"/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Yes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336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Reference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Reference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No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2510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0.29 (-0.67, 1.25)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-0.58 (-1.01, -0.14)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p-trend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0.55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0.01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Alcohol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</w:tcPr>
          <w:p w:rsidR="00D72BA2" w:rsidRPr="00D72BA2" w:rsidRDefault="00D72BA2" w:rsidP="00D72BA2"/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Rarely/never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315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Reference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Reference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Once/month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410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0.74 (-0.45, 1.93)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-0.75 (-1.29, -0.21)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 xml:space="preserve">1&lt;5/wk 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1255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0.91 (-0.10, 1.93)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-0.54 (-1.01,- 0.08)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≥ 5/wk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866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1.37 (0.31, 2.43)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-0.63 (-1.11, -0.14)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p-trend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0.08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0.039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Disability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</w:tcPr>
          <w:p w:rsidR="00D72BA2" w:rsidRPr="00D72BA2" w:rsidRDefault="00D72BA2" w:rsidP="00D72BA2"/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Yes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570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Reference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Reference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No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2276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1.94 (1.12, 2.77)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-1.41 (-1.79, -1.03)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p-trend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&lt;0.001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&lt;0.001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Chronic illness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</w:tcPr>
          <w:p w:rsidR="00D72BA2" w:rsidRPr="00D72BA2" w:rsidRDefault="00D72BA2" w:rsidP="00D72BA2"/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Yes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1454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Reference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Reference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No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1392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0.80 (0.17, 1.44)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-0.49 (-0.76, -0.21)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p-trend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0.013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0.001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lastRenderedPageBreak/>
              <w:t>Depression (CES-D≥4)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</w:tcPr>
          <w:p w:rsidR="00D72BA2" w:rsidRPr="00D72BA2" w:rsidRDefault="00D72BA2" w:rsidP="00D72BA2"/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Yes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500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Reference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Reference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No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2346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1.17 (0.35, 2.00)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-0.40 (-0.77, -0.03)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p-trend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0.005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0.034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 xml:space="preserve">Body mass index 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</w:tcPr>
          <w:p w:rsidR="00D72BA2" w:rsidRPr="00D72BA2" w:rsidRDefault="00D72BA2" w:rsidP="00D72BA2"/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15 - 25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625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Reference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Reference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&lt;25&lt;30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1408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2.19 (1.42, 2.95)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0.08 (-0.26, 0.41)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≥30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813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3.22 (2.26, 4.09)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0.41 (0.03, 0.79)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p-trend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&lt;0.001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0.062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 xml:space="preserve">Social occupational class 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</w:tcPr>
          <w:p w:rsidR="00D72BA2" w:rsidRPr="00D72BA2" w:rsidRDefault="00D72BA2" w:rsidP="00D72BA2"/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Managerial/ professional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1260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Reference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Reference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 xml:space="preserve">Intermediate 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591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0.16 (-0.64, 0.95)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0.04 (-0.30, 0.39)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r w:rsidRPr="00D72BA2">
              <w:t>Manual/routine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>
            <w:r w:rsidRPr="00D72BA2">
              <w:t>982</w:t>
            </w:r>
          </w:p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-0.84 (-1.55, -0.13)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0.42 (0.11, 0.73)</w:t>
            </w:r>
          </w:p>
        </w:tc>
      </w:tr>
      <w:tr w:rsidR="00D72BA2" w:rsidRPr="00D72BA2" w:rsidTr="00186F52">
        <w:tc>
          <w:tcPr>
            <w:tcW w:w="1640" w:type="dxa"/>
            <w:shd w:val="clear" w:color="auto" w:fill="auto"/>
          </w:tcPr>
          <w:p w:rsidR="00D72BA2" w:rsidRPr="00D72BA2" w:rsidRDefault="00D72BA2" w:rsidP="00D72BA2">
            <w:pPr>
              <w:rPr>
                <w:i/>
              </w:rPr>
            </w:pPr>
            <w:r w:rsidRPr="00D72BA2">
              <w:rPr>
                <w:i/>
              </w:rPr>
              <w:t>p-trend</w:t>
            </w:r>
          </w:p>
        </w:tc>
        <w:tc>
          <w:tcPr>
            <w:tcW w:w="702" w:type="dxa"/>
            <w:shd w:val="clear" w:color="auto" w:fill="auto"/>
          </w:tcPr>
          <w:p w:rsidR="00D72BA2" w:rsidRPr="00D72BA2" w:rsidRDefault="00D72BA2" w:rsidP="00D72BA2"/>
        </w:tc>
        <w:tc>
          <w:tcPr>
            <w:tcW w:w="2444" w:type="dxa"/>
            <w:shd w:val="clear" w:color="auto" w:fill="auto"/>
          </w:tcPr>
          <w:p w:rsidR="00D72BA2" w:rsidRPr="00D72BA2" w:rsidRDefault="00D72BA2" w:rsidP="00D72BA2">
            <w:r w:rsidRPr="00D72BA2">
              <w:t>0.06</w:t>
            </w:r>
          </w:p>
        </w:tc>
        <w:tc>
          <w:tcPr>
            <w:tcW w:w="2444" w:type="dxa"/>
          </w:tcPr>
          <w:p w:rsidR="00D72BA2" w:rsidRPr="00D72BA2" w:rsidRDefault="00D72BA2" w:rsidP="00D72BA2">
            <w:r w:rsidRPr="00D72BA2">
              <w:t>0.05</w:t>
            </w:r>
          </w:p>
        </w:tc>
      </w:tr>
    </w:tbl>
    <w:p w:rsidR="00D72BA2" w:rsidRPr="00D72BA2" w:rsidRDefault="00D72BA2" w:rsidP="00D72BA2"/>
    <w:p w:rsidR="00D72BA2" w:rsidRPr="00D72BA2" w:rsidRDefault="00D72BA2" w:rsidP="00D72BA2">
      <w:r w:rsidRPr="00D72BA2">
        <w:rPr>
          <w:b/>
        </w:rPr>
        <w:t xml:space="preserve">Multivariate model </w:t>
      </w:r>
      <w:r w:rsidRPr="00D72BA2">
        <w:t>includes mutual adjustment for all variables presented plus sedentary behaviors</w:t>
      </w:r>
    </w:p>
    <w:p w:rsidR="00031F74" w:rsidRDefault="00031F74">
      <w:bookmarkStart w:id="0" w:name="_GoBack"/>
      <w:bookmarkEnd w:id="0"/>
    </w:p>
    <w:sectPr w:rsidR="0003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A2"/>
    <w:rsid w:val="00031F74"/>
    <w:rsid w:val="00D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Markh</cp:lastModifiedBy>
  <cp:revision>1</cp:revision>
  <dcterms:created xsi:type="dcterms:W3CDTF">2013-05-10T08:39:00Z</dcterms:created>
  <dcterms:modified xsi:type="dcterms:W3CDTF">2013-05-10T08:48:00Z</dcterms:modified>
</cp:coreProperties>
</file>