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BD" w:rsidRPr="00ED53E2" w:rsidRDefault="00192CC2" w:rsidP="007E6AD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D53E2">
        <w:rPr>
          <w:rFonts w:ascii="Times New Roman" w:hAnsi="Times New Roman"/>
          <w:b/>
          <w:sz w:val="24"/>
          <w:szCs w:val="24"/>
          <w:lang w:val="en-US"/>
        </w:rPr>
        <w:t>SUPPLEMENTARY EXPERIMENTAL PROCEDURES</w:t>
      </w:r>
    </w:p>
    <w:p w:rsidR="007E6AD8" w:rsidRPr="007E6AD8" w:rsidRDefault="00A359BD" w:rsidP="007E6AD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E6AD8">
        <w:rPr>
          <w:rFonts w:ascii="Times New Roman" w:hAnsi="Times New Roman"/>
          <w:b/>
          <w:i/>
          <w:sz w:val="24"/>
          <w:szCs w:val="24"/>
          <w:lang w:val="en-US"/>
        </w:rPr>
        <w:t>Mice and treatments</w:t>
      </w:r>
    </w:p>
    <w:p w:rsidR="0063769E" w:rsidRPr="007E6AD8" w:rsidRDefault="00A359BD" w:rsidP="007E6AD8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53E2">
        <w:rPr>
          <w:rFonts w:ascii="Times New Roman" w:hAnsi="Times New Roman"/>
          <w:sz w:val="24"/>
          <w:szCs w:val="24"/>
          <w:lang w:val="en-US"/>
        </w:rPr>
        <w:t xml:space="preserve">To determine the regulation of polyribosome-associated transcripts by testosterone (T) in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Sertoli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cells, adult AMH-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cre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>:</w:t>
      </w:r>
      <w:r w:rsidR="00114901" w:rsidRPr="00ED53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RiboTag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mice (n=3) were injected with either saline,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cetrorelix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or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cetrorelix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+ T. Mice were sacrificed after 4 h of T administration and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RiboTag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analysis was performed at this time point.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Cetrorelix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(50ug,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Bachem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) was given </w:t>
      </w:r>
      <w:proofErr w:type="spellStart"/>
      <w:proofErr w:type="gramStart"/>
      <w:r w:rsidRPr="00ED53E2">
        <w:rPr>
          <w:rFonts w:ascii="Times New Roman" w:hAnsi="Times New Roman"/>
          <w:sz w:val="24"/>
          <w:szCs w:val="24"/>
          <w:lang w:val="en-US"/>
        </w:rPr>
        <w:t>s.c</w:t>
      </w:r>
      <w:proofErr w:type="gramEnd"/>
      <w:r w:rsidRPr="00ED53E2">
        <w:rPr>
          <w:rFonts w:ascii="Times New Roman" w:hAnsi="Times New Roman"/>
          <w:sz w:val="24"/>
          <w:szCs w:val="24"/>
          <w:lang w:val="en-US"/>
        </w:rPr>
        <w:t>.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for 3 d before a single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i.p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. injection of 10 mg of testosterone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enanthate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Delatestryl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Savient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Pharmaceuticals). To assess the regulation of polyribosome-associated transcripts by FSH in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Sertoli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cells, a similar approach was performed using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acyline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as a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GnRH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antagonist and highly purified FSH instead of T in adult AMH-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Cre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RiboTag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mice. In this case, the response to FSH was assessed after 1 h and 4 h of FSH administration.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Acyline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(300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ug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) was given </w:t>
      </w:r>
      <w:proofErr w:type="spellStart"/>
      <w:proofErr w:type="gramStart"/>
      <w:r w:rsidRPr="00ED53E2">
        <w:rPr>
          <w:rFonts w:ascii="Times New Roman" w:hAnsi="Times New Roman"/>
          <w:sz w:val="24"/>
          <w:szCs w:val="24"/>
          <w:lang w:val="en-US"/>
        </w:rPr>
        <w:t>s.c</w:t>
      </w:r>
      <w:proofErr w:type="gramEnd"/>
      <w:r w:rsidRPr="00ED53E2">
        <w:rPr>
          <w:rFonts w:ascii="Times New Roman" w:hAnsi="Times New Roman"/>
          <w:sz w:val="24"/>
          <w:szCs w:val="24"/>
          <w:lang w:val="en-US"/>
        </w:rPr>
        <w:t>.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for 3 d before a single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i.p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>. injection of 1 unit of highly purified human FSH (&gt;99.5%, Scripps laboratories). In both experiments, microarray analysis was performed on animals with confirmed T and FSH serum levels (n=2). Serum was obtained when the animals were sacrificed by cardiac puncture.</w:t>
      </w:r>
      <w:r w:rsidRPr="00ED53E2">
        <w:rPr>
          <w:sz w:val="24"/>
          <w:szCs w:val="24"/>
          <w:lang w:val="en-US"/>
        </w:rPr>
        <w:t xml:space="preserve"> </w:t>
      </w:r>
    </w:p>
    <w:p w:rsidR="007E6AD8" w:rsidRPr="007E6AD8" w:rsidRDefault="00A359BD" w:rsidP="007E6AD8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7E6AD8">
        <w:rPr>
          <w:rFonts w:ascii="Times New Roman" w:hAnsi="Times New Roman"/>
          <w:b/>
          <w:i/>
          <w:sz w:val="24"/>
          <w:szCs w:val="24"/>
          <w:lang w:val="en-US"/>
        </w:rPr>
        <w:t>Cluster analysis</w:t>
      </w:r>
    </w:p>
    <w:p w:rsidR="00A359BD" w:rsidRPr="00ED53E2" w:rsidRDefault="00A359BD" w:rsidP="007E6AD8">
      <w:pPr>
        <w:spacing w:line="480" w:lineRule="auto"/>
        <w:jc w:val="both"/>
        <w:rPr>
          <w:sz w:val="24"/>
          <w:szCs w:val="24"/>
          <w:lang w:val="en-US"/>
        </w:rPr>
      </w:pPr>
      <w:r w:rsidRPr="00ED53E2">
        <w:rPr>
          <w:rFonts w:ascii="Times New Roman" w:hAnsi="Times New Roman"/>
          <w:sz w:val="24"/>
          <w:szCs w:val="24"/>
          <w:lang w:val="en-US"/>
        </w:rPr>
        <w:t xml:space="preserve">Transcripts showing significant differences between groups (p&lt;0.01 using One-way Analysis of Variance (ANOVA)) were grouped according to their response to the treatments using </w:t>
      </w:r>
      <w:proofErr w:type="spellStart"/>
      <w:r w:rsidRPr="00ED53E2">
        <w:rPr>
          <w:rFonts w:ascii="Times New Roman" w:hAnsi="Times New Roman"/>
          <w:sz w:val="24"/>
          <w:szCs w:val="24"/>
          <w:lang w:val="en-US"/>
        </w:rPr>
        <w:t>dChip</w:t>
      </w:r>
      <w:proofErr w:type="spellEnd"/>
      <w:r w:rsidRPr="00ED53E2">
        <w:rPr>
          <w:rFonts w:ascii="Times New Roman" w:hAnsi="Times New Roman"/>
          <w:sz w:val="24"/>
          <w:szCs w:val="24"/>
          <w:lang w:val="en-US"/>
        </w:rPr>
        <w:t xml:space="preserve"> (http://biosun1.harvard.edu/~cli/complab/dchip/).</w:t>
      </w:r>
    </w:p>
    <w:p w:rsidR="00192CC2" w:rsidRPr="00ED53E2" w:rsidRDefault="00192CC2" w:rsidP="007E6AD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192CC2" w:rsidRPr="00ED53E2" w:rsidSect="00036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45"/>
    <w:rsid w:val="00036B8B"/>
    <w:rsid w:val="00040AD3"/>
    <w:rsid w:val="00047860"/>
    <w:rsid w:val="00050021"/>
    <w:rsid w:val="00071281"/>
    <w:rsid w:val="000C328F"/>
    <w:rsid w:val="000D341E"/>
    <w:rsid w:val="000F4CF0"/>
    <w:rsid w:val="0011437F"/>
    <w:rsid w:val="00114901"/>
    <w:rsid w:val="00157122"/>
    <w:rsid w:val="00176DC8"/>
    <w:rsid w:val="00192CC2"/>
    <w:rsid w:val="001A2229"/>
    <w:rsid w:val="001D5F0E"/>
    <w:rsid w:val="001E5D42"/>
    <w:rsid w:val="001F5C0E"/>
    <w:rsid w:val="00210436"/>
    <w:rsid w:val="00301F91"/>
    <w:rsid w:val="00307645"/>
    <w:rsid w:val="003113DC"/>
    <w:rsid w:val="003152DB"/>
    <w:rsid w:val="0036250B"/>
    <w:rsid w:val="00371C2D"/>
    <w:rsid w:val="00373B70"/>
    <w:rsid w:val="00375E4F"/>
    <w:rsid w:val="00413101"/>
    <w:rsid w:val="00423038"/>
    <w:rsid w:val="004817A1"/>
    <w:rsid w:val="004B0433"/>
    <w:rsid w:val="004C784C"/>
    <w:rsid w:val="004D7EDA"/>
    <w:rsid w:val="004F709B"/>
    <w:rsid w:val="005201D6"/>
    <w:rsid w:val="00554350"/>
    <w:rsid w:val="00566421"/>
    <w:rsid w:val="00591602"/>
    <w:rsid w:val="005B6ECA"/>
    <w:rsid w:val="00616959"/>
    <w:rsid w:val="0062043B"/>
    <w:rsid w:val="006270E5"/>
    <w:rsid w:val="0063769E"/>
    <w:rsid w:val="006B3266"/>
    <w:rsid w:val="006D7CB4"/>
    <w:rsid w:val="006F4A4C"/>
    <w:rsid w:val="00704012"/>
    <w:rsid w:val="00733929"/>
    <w:rsid w:val="00746B41"/>
    <w:rsid w:val="00753BCE"/>
    <w:rsid w:val="00756962"/>
    <w:rsid w:val="00763302"/>
    <w:rsid w:val="0078411E"/>
    <w:rsid w:val="007D5998"/>
    <w:rsid w:val="007E6AD8"/>
    <w:rsid w:val="007F6BC1"/>
    <w:rsid w:val="00821664"/>
    <w:rsid w:val="00824D31"/>
    <w:rsid w:val="00832F84"/>
    <w:rsid w:val="008659E2"/>
    <w:rsid w:val="008D7834"/>
    <w:rsid w:val="00920581"/>
    <w:rsid w:val="00941BC0"/>
    <w:rsid w:val="0095334D"/>
    <w:rsid w:val="00954095"/>
    <w:rsid w:val="009C09EF"/>
    <w:rsid w:val="009D1419"/>
    <w:rsid w:val="00A036C1"/>
    <w:rsid w:val="00A359BD"/>
    <w:rsid w:val="00A76E51"/>
    <w:rsid w:val="00A938DD"/>
    <w:rsid w:val="00AA7A79"/>
    <w:rsid w:val="00AB122F"/>
    <w:rsid w:val="00AE6729"/>
    <w:rsid w:val="00B008D7"/>
    <w:rsid w:val="00B24DA5"/>
    <w:rsid w:val="00B329C8"/>
    <w:rsid w:val="00B70845"/>
    <w:rsid w:val="00BA2C3F"/>
    <w:rsid w:val="00BA420F"/>
    <w:rsid w:val="00BB75DC"/>
    <w:rsid w:val="00BD02D3"/>
    <w:rsid w:val="00BD6C34"/>
    <w:rsid w:val="00BF36A1"/>
    <w:rsid w:val="00C15893"/>
    <w:rsid w:val="00C338CC"/>
    <w:rsid w:val="00C96BFF"/>
    <w:rsid w:val="00D11F87"/>
    <w:rsid w:val="00DA0582"/>
    <w:rsid w:val="00DC3BB9"/>
    <w:rsid w:val="00DC6B48"/>
    <w:rsid w:val="00DE2484"/>
    <w:rsid w:val="00E409D5"/>
    <w:rsid w:val="00E50BD6"/>
    <w:rsid w:val="00E61213"/>
    <w:rsid w:val="00EA2CFE"/>
    <w:rsid w:val="00EC59AF"/>
    <w:rsid w:val="00ED53E2"/>
    <w:rsid w:val="00ED7535"/>
    <w:rsid w:val="00EF1C80"/>
    <w:rsid w:val="00F0347D"/>
    <w:rsid w:val="00F14A96"/>
    <w:rsid w:val="00F71A97"/>
    <w:rsid w:val="00F8256C"/>
    <w:rsid w:val="00FA36AD"/>
    <w:rsid w:val="00FE7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8B"/>
    <w:pPr>
      <w:spacing w:after="200" w:line="276" w:lineRule="auto"/>
    </w:pPr>
    <w:rPr>
      <w:sz w:val="22"/>
      <w:szCs w:val="2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32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8A"/>
    <w:rPr>
      <w:rFonts w:ascii="Lucida Grande" w:hAnsi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8B"/>
    <w:pPr>
      <w:spacing w:after="200" w:line="276" w:lineRule="auto"/>
    </w:pPr>
    <w:rPr>
      <w:sz w:val="22"/>
      <w:szCs w:val="22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32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8A"/>
    <w:rPr>
      <w:rFonts w:ascii="Lucida Grande" w:hAnsi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Elisenda</dc:creator>
  <cp:lastModifiedBy>Elisenda</cp:lastModifiedBy>
  <cp:revision>30</cp:revision>
  <dcterms:created xsi:type="dcterms:W3CDTF">2013-01-29T01:17:00Z</dcterms:created>
  <dcterms:modified xsi:type="dcterms:W3CDTF">2013-05-09T18:12:00Z</dcterms:modified>
</cp:coreProperties>
</file>