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08" w:rsidRPr="00AB4A8A" w:rsidRDefault="00E42A08" w:rsidP="008126BB">
      <w:pPr>
        <w:spacing w:line="480" w:lineRule="auto"/>
        <w:rPr>
          <w:b/>
        </w:rPr>
      </w:pPr>
      <w:r w:rsidRPr="0091385D">
        <w:rPr>
          <w:rFonts w:ascii="Verdana" w:hAnsi="Verdana"/>
          <w:b/>
          <w:sz w:val="25"/>
          <w:szCs w:val="25"/>
        </w:rPr>
        <w:t>Supporting Information</w:t>
      </w:r>
    </w:p>
    <w:p w:rsidR="00654874" w:rsidRDefault="00654874" w:rsidP="00654874">
      <w:pPr>
        <w:spacing w:line="480" w:lineRule="auto"/>
        <w:rPr>
          <w:rFonts w:ascii="Verdana" w:hAnsi="Verdana"/>
          <w:sz w:val="25"/>
          <w:szCs w:val="25"/>
        </w:rPr>
      </w:pPr>
      <w:proofErr w:type="gramStart"/>
      <w:r w:rsidRPr="0047482D">
        <w:rPr>
          <w:rFonts w:ascii="Verdana" w:hAnsi="Verdana"/>
          <w:sz w:val="25"/>
          <w:szCs w:val="25"/>
        </w:rPr>
        <w:t>Text S</w:t>
      </w:r>
      <w:r>
        <w:rPr>
          <w:rFonts w:ascii="Verdana" w:hAnsi="Verdana"/>
          <w:sz w:val="25"/>
          <w:szCs w:val="25"/>
        </w:rPr>
        <w:t>1</w:t>
      </w:r>
      <w:r w:rsidRPr="0047482D">
        <w:rPr>
          <w:rFonts w:ascii="Verdana" w:hAnsi="Verdana"/>
          <w:sz w:val="25"/>
          <w:szCs w:val="25"/>
        </w:rPr>
        <w:t>.</w:t>
      </w:r>
      <w:proofErr w:type="gramEnd"/>
      <w:r w:rsidRPr="0047482D">
        <w:rPr>
          <w:rFonts w:ascii="Verdana" w:hAnsi="Verdana"/>
          <w:sz w:val="25"/>
          <w:szCs w:val="25"/>
        </w:rPr>
        <w:t xml:space="preserve"> </w:t>
      </w:r>
      <w:r>
        <w:rPr>
          <w:rFonts w:ascii="Verdana" w:hAnsi="Verdana"/>
          <w:sz w:val="25"/>
          <w:szCs w:val="25"/>
        </w:rPr>
        <w:t>Estimation of Maximum Water Deficit</w:t>
      </w:r>
    </w:p>
    <w:p w:rsidR="00654874" w:rsidRDefault="00654874" w:rsidP="00654874">
      <w:pPr>
        <w:spacing w:line="480" w:lineRule="auto"/>
        <w:ind w:firstLine="720"/>
      </w:pPr>
      <w:r>
        <w:t xml:space="preserve">To estimate drought in Sankuru’s forests, we first calculated total monthly precipitation </w:t>
      </w:r>
      <w:r w:rsidRPr="00B81B6C">
        <w:t xml:space="preserve">at </w:t>
      </w:r>
      <w:r>
        <w:t xml:space="preserve">the </w:t>
      </w:r>
      <w:r w:rsidRPr="00B81B6C">
        <w:t>0.25</w:t>
      </w:r>
      <w:r>
        <w:t>º</w:t>
      </w:r>
      <w:r w:rsidRPr="00B81B6C">
        <w:t xml:space="preserve"> spatial resolution </w:t>
      </w:r>
      <w:r>
        <w:t xml:space="preserve">from 1998 to 2010 using the </w:t>
      </w:r>
      <w:r w:rsidRPr="00B81B6C">
        <w:t xml:space="preserve">Tropical Rainfall Measuring Mission </w:t>
      </w:r>
      <w:r>
        <w:t>(</w:t>
      </w:r>
      <w:r w:rsidRPr="00B81B6C">
        <w:t>TRMM</w:t>
      </w:r>
      <w:r>
        <w:t xml:space="preserve">), which is a satellite radar that has seen widespread use in mapping rainfall </w:t>
      </w:r>
      <w:r w:rsidR="005440A0">
        <w:fldChar w:fldCharType="begin"/>
      </w:r>
      <w:r>
        <w:instrText xml:space="preserve"> ADDIN EN.CITE &lt;EndNote&gt;&lt;Cite&gt;&lt;Author&gt;Kummerow&lt;/Author&gt;&lt;Year&gt;1998&lt;/Year&gt;&lt;RecNum&gt;21&lt;/RecNum&gt;&lt;DisplayText&gt;[1,2]&lt;/DisplayText&gt;&lt;record&gt;&lt;rec-number&gt;21&lt;/rec-number&gt;&lt;foreign-keys&gt;&lt;key app="EN" db-id="v0va0wpvswrt24epxwcpv5eedpxvawexdvvz"&gt;21&lt;/key&gt;&lt;/foreign-keys&gt;&lt;ref-type name="Journal Article"&gt;17&lt;/ref-type&gt;&lt;contributors&gt;&lt;authors&gt;&lt;author&gt;Kummerow, C.&lt;/author&gt;&lt;author&gt;Barnes, W.&lt;/author&gt;&lt;author&gt;Kozu, T.&lt;/author&gt;&lt;author&gt;Shiue, J.&lt;/author&gt;&lt;author&gt;Simpson, J.&lt;/author&gt;&lt;/authors&gt;&lt;/contributors&gt;&lt;titles&gt;&lt;title&gt;The Tropical Rainfall Measuring Mission (TRMM) sensor package&lt;/title&gt;&lt;secondary-title&gt;Journal of Atmospheric and Oceanic Technology&lt;/secondary-title&gt;&lt;/titles&gt;&lt;periodical&gt;&lt;full-title&gt;Journal of Atmospheric and Oceanic Technology&lt;/full-title&gt;&lt;/periodical&gt;&lt;pages&gt;809-817&lt;/pages&gt;&lt;volume&gt;15&lt;/volume&gt;&lt;number&gt;3&lt;/number&gt;&lt;dates&gt;&lt;year&gt;1998&lt;/year&gt;&lt;pub-dates&gt;&lt;date&gt;Jun&lt;/date&gt;&lt;/pub-dates&gt;&lt;/dates&gt;&lt;isbn&gt;0739-0572&lt;/isbn&gt;&lt;accession-num&gt;WOS:000073913300018&lt;/accession-num&gt;&lt;urls&gt;&lt;related-urls&gt;&lt;url&gt;&amp;lt;Go to ISI&amp;gt;://WOS:000073913300018&lt;/url&gt;&lt;/related-urls&gt;&lt;/urls&gt;&lt;electronic-resource-num&gt;10.1175/1520-0426(1998)015&amp;lt;0809:ttrmmt&amp;gt;2.0.co;2&lt;/electronic-resource-num&gt;&lt;/record&gt;&lt;/Cite&gt;&lt;Cite&gt;&lt;Author&gt;Asefi-Najafabady&lt;/Author&gt;&lt;Year&gt;accepted pending revisions&lt;/Year&gt;&lt;RecNum&gt;93&lt;/RecNum&gt;&lt;record&gt;&lt;rec-number&gt;93&lt;/rec-number&gt;&lt;foreign-keys&gt;&lt;key app="EN" db-id="v0va0wpvswrt24epxwcpv5eedpxvawexdvvz"&gt;93&lt;/key&gt;&lt;/foreign-keys&gt;&lt;ref-type name="Journal Article"&gt;17&lt;/ref-type&gt;&lt;contributors&gt;&lt;authors&gt;&lt;author&gt;Asefi-Najafabady, S.&lt;/author&gt;&lt;author&gt;Saatchi, S.&lt;/author&gt;&lt;/authors&gt;&lt;/contributors&gt;&lt;titles&gt;&lt;title&gt;Impacts of climate variability on African Tropical Rainforest&lt;/title&gt;&lt;secondary-title&gt;Geophysical Research Letters&lt;/secondary-title&gt;&lt;/titles&gt;&lt;periodical&gt;&lt;full-title&gt;Geophysical Research Letters&lt;/full-title&gt;&lt;/periodical&gt;&lt;dates&gt;&lt;year&gt;accepted pending revisions&lt;/year&gt;&lt;/dates&gt;&lt;urls&gt;&lt;/urls&gt;&lt;/record&gt;&lt;/Cite&gt;&lt;/EndNote&gt;</w:instrText>
      </w:r>
      <w:r w:rsidR="005440A0">
        <w:fldChar w:fldCharType="separate"/>
      </w:r>
      <w:r>
        <w:rPr>
          <w:noProof/>
        </w:rPr>
        <w:t>[</w:t>
      </w:r>
      <w:hyperlink w:anchor="_ENREF_1" w:tooltip="Kummerow, 1998 #21" w:history="1">
        <w:r w:rsidR="00C3001F">
          <w:rPr>
            <w:noProof/>
          </w:rPr>
          <w:t>1</w:t>
        </w:r>
      </w:hyperlink>
      <w:r>
        <w:rPr>
          <w:noProof/>
        </w:rPr>
        <w:t>,</w:t>
      </w:r>
      <w:hyperlink w:anchor="_ENREF_2" w:tooltip="Asefi-Najafabady, accepted pending revisions #93" w:history="1">
        <w:r w:rsidR="00C3001F">
          <w:rPr>
            <w:noProof/>
          </w:rPr>
          <w:t>2</w:t>
        </w:r>
      </w:hyperlink>
      <w:r>
        <w:rPr>
          <w:noProof/>
        </w:rPr>
        <w:t>]</w:t>
      </w:r>
      <w:r w:rsidR="005440A0">
        <w:fldChar w:fldCharType="end"/>
      </w:r>
      <w:r w:rsidRPr="00B81B6C">
        <w:t xml:space="preserve">. </w:t>
      </w:r>
      <w:r>
        <w:t>Next, for each pixel (</w:t>
      </w:r>
      <w:proofErr w:type="spellStart"/>
      <w:r>
        <w:rPr>
          <w:i/>
        </w:rPr>
        <w:t>i</w:t>
      </w:r>
      <w:r>
        <w:t>,</w:t>
      </w:r>
      <w:r>
        <w:rPr>
          <w:i/>
        </w:rPr>
        <w:t>j</w:t>
      </w:r>
      <w:proofErr w:type="spellEnd"/>
      <w:r>
        <w:t xml:space="preserve">) and each month </w:t>
      </w:r>
      <w:r w:rsidRPr="00370A48">
        <w:rPr>
          <w:i/>
        </w:rPr>
        <w:t>n</w:t>
      </w:r>
      <w:r>
        <w:t xml:space="preserve"> </w:t>
      </w:r>
      <w:r w:rsidRPr="00370A48">
        <w:t>we</w:t>
      </w:r>
      <w:r>
        <w:t xml:space="preserve"> calculated the water deficit (WD) defined as </w:t>
      </w:r>
      <w:r w:rsidR="005440A0">
        <w:fldChar w:fldCharType="begin"/>
      </w:r>
      <w:r>
        <w:instrText xml:space="preserve"> ADDIN EN.CITE &lt;EndNote&gt;&lt;Cite&gt;&lt;Author&gt;Aragao&lt;/Author&gt;&lt;Year&gt;2007&lt;/Year&gt;&lt;RecNum&gt;92&lt;/RecNum&gt;&lt;DisplayText&gt;[2,3]&lt;/DisplayText&gt;&lt;record&gt;&lt;rec-number&gt;92&lt;/rec-number&gt;&lt;foreign-keys&gt;&lt;key app="EN" db-id="v0va0wpvswrt24epxwcpv5eedpxvawexdvvz"&gt;92&lt;/key&gt;&lt;/foreign-keys&gt;&lt;ref-type name="Journal Article"&gt;17&lt;/ref-type&gt;&lt;contributors&gt;&lt;authors&gt;&lt;author&gt;Aragao, Leoc&lt;/author&gt;&lt;author&gt;Malhi, Y.&lt;/author&gt;&lt;author&gt;Roman-Cuesta, R. M.&lt;/author&gt;&lt;author&gt;Saatchi, S.&lt;/author&gt;&lt;author&gt;Anderson, L. O.&lt;/author&gt;&lt;author&gt;Shimabukuro, Y. E.&lt;/author&gt;&lt;/authors&gt;&lt;/contributors&gt;&lt;titles&gt;&lt;title&gt;Spatial patterns and fire response of recent Amazonian droughts&lt;/title&gt;&lt;secondary-title&gt;Geophysical Research Letters&lt;/secondary-title&gt;&lt;/titles&gt;&lt;periodical&gt;&lt;full-title&gt;Geophysical Research Letters&lt;/full-title&gt;&lt;/periodical&gt;&lt;volume&gt;34&lt;/volume&gt;&lt;number&gt;7&lt;/number&gt;&lt;dates&gt;&lt;year&gt;2007&lt;/year&gt;&lt;pub-dates&gt;&lt;date&gt;Apr&lt;/date&gt;&lt;/pub-dates&gt;&lt;/dates&gt;&lt;isbn&gt;0094-8276&lt;/isbn&gt;&lt;accession-num&gt;WOS:000245578300004&lt;/accession-num&gt;&lt;urls&gt;&lt;related-urls&gt;&lt;url&gt;&amp;lt;Go to ISI&amp;gt;://WOS:000245578300004&lt;/url&gt;&lt;/related-urls&gt;&lt;/urls&gt;&lt;electronic-resource-num&gt;L07701&amp;#xD;10.1029/2006gl028946&lt;/electronic-resource-num&gt;&lt;/record&gt;&lt;/Cite&gt;&lt;Cite&gt;&lt;Author&gt;Asefi-Najafabady&lt;/Author&gt;&lt;Year&gt;accepted pending revisions&lt;/Year&gt;&lt;RecNum&gt;93&lt;/RecNum&gt;&lt;record&gt;&lt;rec-number&gt;93&lt;/rec-number&gt;&lt;foreign-keys&gt;&lt;key app="EN" db-id="v0va0wpvswrt24epxwcpv5eedpxvawexdvvz"&gt;93&lt;/key&gt;&lt;/foreign-keys&gt;&lt;ref-type name="Journal Article"&gt;17&lt;/ref-type&gt;&lt;contributors&gt;&lt;authors&gt;&lt;author&gt;Asefi-Najafabady, S.&lt;/author&gt;&lt;author&gt;Saatchi, S.&lt;/author&gt;&lt;/authors&gt;&lt;/contributors&gt;&lt;titles&gt;&lt;title&gt;Impacts of climate variability on African Tropical Rainforest&lt;/title&gt;&lt;secondary-title&gt;Geophysical Research Letters&lt;/secondary-title&gt;&lt;/titles&gt;&lt;periodical&gt;&lt;full-title&gt;Geophysical Research Letters&lt;/full-title&gt;&lt;/periodical&gt;&lt;dates&gt;&lt;year&gt;accepted pending revisions&lt;/year&gt;&lt;/dates&gt;&lt;urls&gt;&lt;/urls&gt;&lt;/record&gt;&lt;/Cite&gt;&lt;/EndNote&gt;</w:instrText>
      </w:r>
      <w:r w:rsidR="005440A0">
        <w:fldChar w:fldCharType="separate"/>
      </w:r>
      <w:r>
        <w:rPr>
          <w:noProof/>
        </w:rPr>
        <w:t>[</w:t>
      </w:r>
      <w:hyperlink w:anchor="_ENREF_2" w:tooltip="Asefi-Najafabady, accepted pending revisions #93" w:history="1">
        <w:r w:rsidR="00C3001F">
          <w:rPr>
            <w:noProof/>
          </w:rPr>
          <w:t>2</w:t>
        </w:r>
      </w:hyperlink>
      <w:r>
        <w:rPr>
          <w:noProof/>
        </w:rPr>
        <w:t>,</w:t>
      </w:r>
      <w:hyperlink w:anchor="_ENREF_3" w:tooltip="Aragao, 2007 #92" w:history="1">
        <w:r w:rsidR="00C3001F">
          <w:rPr>
            <w:noProof/>
          </w:rPr>
          <w:t>3</w:t>
        </w:r>
      </w:hyperlink>
      <w:r>
        <w:rPr>
          <w:noProof/>
        </w:rPr>
        <w:t>]</w:t>
      </w:r>
      <w:r w:rsidR="005440A0">
        <w:fldChar w:fldCharType="end"/>
      </w:r>
      <w:r>
        <w:t>:</w:t>
      </w:r>
    </w:p>
    <w:p w:rsidR="00654874" w:rsidRDefault="005440A0" w:rsidP="00654874">
      <w:pPr>
        <w:spacing w:line="480" w:lineRule="auto"/>
        <w:ind w:firstLine="720"/>
      </w:pPr>
      <m:oMathPara>
        <m:oMath>
          <m:sSub>
            <m:sSubPr>
              <m:ctrlPr>
                <w:rPr>
                  <w:rFonts w:ascii="Cambria Math" w:hAnsi="Cambria Math"/>
                  <w:i/>
                </w:rPr>
              </m:ctrlPr>
            </m:sSubPr>
            <m:e>
              <m:r>
                <w:rPr>
                  <w:rFonts w:ascii="Cambria Math" w:hAnsi="Cambria Math"/>
                </w:rPr>
                <m:t>WD</m:t>
              </m:r>
            </m:e>
            <m:sub>
              <m:r>
                <w:rPr>
                  <w:rFonts w:ascii="Cambria Math" w:hAnsi="Cambria Math"/>
                </w:rPr>
                <m:t>n</m:t>
              </m:r>
            </m:sub>
          </m:sSub>
          <m:d>
            <m:dPr>
              <m:ctrlPr>
                <w:rPr>
                  <w:rFonts w:ascii="Cambria Math" w:hAnsi="Cambria Math"/>
                  <w:i/>
                </w:rPr>
              </m:ctrlPr>
            </m:dPr>
            <m:e>
              <m:r>
                <w:rPr>
                  <w:rFonts w:ascii="Cambria Math" w:hAnsi="Cambria Math"/>
                </w:rPr>
                <m:t>i,j</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WD</m:t>
                      </m:r>
                    </m:e>
                    <m:sub>
                      <m:r>
                        <w:rPr>
                          <w:rFonts w:ascii="Cambria Math" w:hAnsi="Cambria Math"/>
                        </w:rPr>
                        <m:t>n-1</m:t>
                      </m:r>
                    </m:sub>
                  </m:sSub>
                  <m:d>
                    <m:dPr>
                      <m:ctrlPr>
                        <w:rPr>
                          <w:rFonts w:ascii="Cambria Math" w:hAnsi="Cambria Math"/>
                          <w:i/>
                        </w:rPr>
                      </m:ctrlPr>
                    </m:dPr>
                    <m:e>
                      <m:r>
                        <w:rPr>
                          <w:rFonts w:ascii="Cambria Math" w:hAnsi="Cambria Math"/>
                        </w:rPr>
                        <m:t>i,j</m:t>
                      </m:r>
                    </m:e>
                  </m:d>
                  <m:r>
                    <w:rPr>
                      <w:rFonts w:ascii="Cambria Math" w:hAnsi="Cambria Math"/>
                    </w:rPr>
                    <m:t>-E</m:t>
                  </m:r>
                  <m:d>
                    <m:dPr>
                      <m:ctrlPr>
                        <w:rPr>
                          <w:rFonts w:ascii="Cambria Math" w:hAnsi="Cambria Math"/>
                          <w:i/>
                        </w:rPr>
                      </m:ctrlPr>
                    </m:dPr>
                    <m:e>
                      <m:r>
                        <w:rPr>
                          <w:rFonts w:ascii="Cambria Math" w:hAnsi="Cambria Math"/>
                        </w:rPr>
                        <m:t>i,j</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i,j</m:t>
                      </m:r>
                    </m:e>
                  </m:d>
                  <m:r>
                    <w:rPr>
                      <w:rFonts w:ascii="Cambria Math" w:hAnsi="Cambria Math"/>
                    </w:rPr>
                    <m:t>,  &amp;</m:t>
                  </m:r>
                  <m:sSub>
                    <m:sSubPr>
                      <m:ctrlPr>
                        <w:rPr>
                          <w:rFonts w:ascii="Cambria Math" w:hAnsi="Cambria Math"/>
                          <w:i/>
                        </w:rPr>
                      </m:ctrlPr>
                    </m:sSubPr>
                    <m:e>
                      <m:r>
                        <w:rPr>
                          <w:rFonts w:ascii="Cambria Math" w:hAnsi="Cambria Math"/>
                        </w:rPr>
                        <m:t>WD</m:t>
                      </m:r>
                    </m:e>
                    <m:sub>
                      <m:r>
                        <w:rPr>
                          <w:rFonts w:ascii="Cambria Math" w:hAnsi="Cambria Math"/>
                        </w:rPr>
                        <m:t>n-1</m:t>
                      </m:r>
                    </m:sub>
                  </m:sSub>
                  <m:d>
                    <m:dPr>
                      <m:ctrlPr>
                        <w:rPr>
                          <w:rFonts w:ascii="Cambria Math" w:hAnsi="Cambria Math"/>
                          <w:i/>
                        </w:rPr>
                      </m:ctrlPr>
                    </m:dPr>
                    <m:e>
                      <m:r>
                        <w:rPr>
                          <w:rFonts w:ascii="Cambria Math" w:hAnsi="Cambria Math"/>
                        </w:rPr>
                        <m:t>i,j</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i,j</m:t>
                      </m:r>
                    </m:e>
                  </m:d>
                  <m:r>
                    <w:rPr>
                      <w:rFonts w:ascii="Cambria Math" w:hAnsi="Cambria Math"/>
                    </w:rPr>
                    <m:t>&lt;E(i,j)</m:t>
                  </m:r>
                </m:e>
                <m:e>
                  <m:r>
                    <w:rPr>
                      <w:rFonts w:ascii="Cambria Math" w:hAnsi="Cambria Math"/>
                    </w:rPr>
                    <m:t>0,  &amp;</m:t>
                  </m:r>
                  <m:r>
                    <m:rPr>
                      <m:nor/>
                    </m:rPr>
                    <w:rPr>
                      <w:rFonts w:ascii="Cambria Math" w:hAnsi="Cambria Math"/>
                    </w:rPr>
                    <m:t>otherwise</m:t>
                  </m:r>
                </m:e>
              </m:eqArr>
            </m:e>
          </m:d>
        </m:oMath>
      </m:oMathPara>
    </w:p>
    <w:p w:rsidR="00654874" w:rsidRPr="00FF3CB3" w:rsidRDefault="00654874" w:rsidP="00654874">
      <w:pPr>
        <w:spacing w:line="480" w:lineRule="auto"/>
      </w:pPr>
      <w:proofErr w:type="gramStart"/>
      <w:r>
        <w:t>where</w:t>
      </w:r>
      <w:proofErr w:type="gramEnd"/>
      <w:r>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i,j</m:t>
            </m:r>
          </m:e>
        </m:d>
      </m:oMath>
      <w:r>
        <w:t xml:space="preserve"> denotes the monthly precipitation estimated from TRMM and </w:t>
      </w:r>
      <m:oMath>
        <m:r>
          <w:rPr>
            <w:rFonts w:ascii="Cambria Math" w:hAnsi="Cambria Math"/>
          </w:rPr>
          <m:t>E(i,j)</m:t>
        </m:r>
      </m:oMath>
      <w:r>
        <w:t xml:space="preserve"> is the evapotranspiration constant</w:t>
      </w:r>
      <w:r w:rsidRPr="00FF3CB3">
        <w:t xml:space="preserve">. </w:t>
      </w:r>
      <w:r>
        <w:t>The maximum water deficit (MWD) for each pixel was defined as the maximum value of WD in each year. For the analysis reported here, the evapotranspiration constant was set to</w:t>
      </w:r>
      <w:r w:rsidRPr="00FF3CB3">
        <w:t xml:space="preserve"> 100 </w:t>
      </w:r>
      <w:r>
        <w:t>mm month</w:t>
      </w:r>
      <w:r w:rsidRPr="00E13D2A">
        <w:rPr>
          <w:vertAlign w:val="superscript"/>
        </w:rPr>
        <w:t>-1</w:t>
      </w:r>
      <w:r w:rsidRPr="00FF3CB3">
        <w:t xml:space="preserve">. </w:t>
      </w:r>
      <w:r w:rsidRPr="004A5A7A">
        <w:t>This assumes that if evapotranspiration is less than 100, then forest</w:t>
      </w:r>
      <w:r>
        <w:t xml:space="preserve">s in </w:t>
      </w:r>
      <w:smartTag w:uri="urn:schemas-microsoft-com:office:smarttags" w:element="place">
        <w:r>
          <w:t>Sankuru</w:t>
        </w:r>
      </w:smartTag>
      <w:r>
        <w:t xml:space="preserve"> experience</w:t>
      </w:r>
      <w:r w:rsidRPr="004A5A7A">
        <w:t xml:space="preserve"> drought. </w:t>
      </w:r>
      <w:r>
        <w:t>The</w:t>
      </w:r>
      <w:r w:rsidRPr="004A5A7A">
        <w:t xml:space="preserve"> </w:t>
      </w:r>
      <w:r>
        <w:t xml:space="preserve">assumption is supported for forests in the Amazon </w:t>
      </w:r>
      <w:r w:rsidR="005440A0">
        <w:fldChar w:fldCharType="begin">
          <w:fldData xml:space="preserve">PEVuZE5vdGU+PENpdGU+PEF1dGhvcj5kYSBSb2NoYTwvQXV0aG9yPjxZZWFyPjIwMDQ8L1llYXI+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</w:fldData>
        </w:fldChar>
      </w:r>
      <w:r>
        <w:instrText xml:space="preserve"> ADDIN EN.CITE </w:instrText>
      </w:r>
      <w:r w:rsidR="005440A0">
        <w:fldChar w:fldCharType="begin">
          <w:fldData xml:space="preserve">PEVuZE5vdGU+PENpdGU+PEF1dGhvcj5kYSBSb2NoYTwvQXV0aG9yPjxZZWFyPjIwMDQ8L1llYXI+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</w:fldData>
        </w:fldChar>
      </w:r>
      <w:r>
        <w:instrText xml:space="preserve"> ADDIN EN.CITE.DATA </w:instrText>
      </w:r>
      <w:r w:rsidR="005440A0">
        <w:fldChar w:fldCharType="end"/>
      </w:r>
      <w:r w:rsidR="005440A0">
        <w:fldChar w:fldCharType="separate"/>
      </w:r>
      <w:r>
        <w:rPr>
          <w:noProof/>
        </w:rPr>
        <w:t>[</w:t>
      </w:r>
      <w:hyperlink w:anchor="_ENREF_2" w:tooltip="Asefi-Najafabady, accepted pending revisions #93" w:history="1">
        <w:r w:rsidR="00C3001F">
          <w:rPr>
            <w:noProof/>
          </w:rPr>
          <w:t>2</w:t>
        </w:r>
      </w:hyperlink>
      <w:r>
        <w:rPr>
          <w:noProof/>
        </w:rPr>
        <w:t>,</w:t>
      </w:r>
      <w:hyperlink w:anchor="_ENREF_4" w:tooltip="da Rocha, 2004 #95" w:history="1">
        <w:r w:rsidR="00C3001F">
          <w:rPr>
            <w:noProof/>
          </w:rPr>
          <w:t>4</w:t>
        </w:r>
      </w:hyperlink>
      <w:r>
        <w:rPr>
          <w:noProof/>
        </w:rPr>
        <w:t>,</w:t>
      </w:r>
      <w:hyperlink w:anchor="_ENREF_5" w:tooltip="Shuttleworth, 1989 #96" w:history="1">
        <w:r w:rsidR="00C3001F">
          <w:rPr>
            <w:noProof/>
          </w:rPr>
          <w:t>5</w:t>
        </w:r>
      </w:hyperlink>
      <w:r>
        <w:rPr>
          <w:noProof/>
        </w:rPr>
        <w:t>]</w:t>
      </w:r>
      <w:r w:rsidR="005440A0">
        <w:fldChar w:fldCharType="end"/>
      </w:r>
      <w:r>
        <w:t xml:space="preserve">, but we note that limited ground-based observations of evapotranspiration are available for other tropical forests. As a consequence, our predictions about drought in </w:t>
      </w:r>
      <w:smartTag w:uri="urn:schemas-microsoft-com:office:smarttags" w:element="place">
        <w:r>
          <w:t>Sankuru</w:t>
        </w:r>
      </w:smartTag>
      <w:r>
        <w:t xml:space="preserve"> could potentially be overestimated if forests in DRC are significantly more drought tolerant than Amazonian ones.</w:t>
      </w:r>
      <w:r w:rsidRPr="004A5A7A">
        <w:t xml:space="preserve"> </w:t>
      </w:r>
      <w:r>
        <w:t>Nevertheless, the evapotranspiration rate utilized here appears to be justified to the extent that it represents the best possible guess as to forest evapotranspiration rates in central DRC that is presently available, though we note that validating the estimate remains an important topic for future field campaigns</w:t>
      </w:r>
      <w:r w:rsidRPr="004A5A7A">
        <w:t xml:space="preserve">. </w:t>
      </w:r>
    </w:p>
    <w:p w:rsidR="003938DB" w:rsidRDefault="003938DB" w:rsidP="004528D5">
      <w:pPr>
        <w:spacing w:line="480" w:lineRule="auto"/>
        <w:rPr>
          <w:rFonts w:ascii="Verdana" w:hAnsi="Verdana"/>
          <w:sz w:val="25"/>
          <w:szCs w:val="25"/>
        </w:rPr>
      </w:pPr>
    </w:p>
    <w:p w:rsidR="003938DB" w:rsidRPr="003938DB" w:rsidRDefault="003938DB" w:rsidP="003938DB">
      <w:pPr>
        <w:widowControl w:val="0"/>
        <w:autoSpaceDE w:val="0"/>
        <w:autoSpaceDN w:val="0"/>
        <w:adjustRightInd w:val="0"/>
        <w:spacing w:line="480" w:lineRule="auto"/>
        <w:rPr>
          <w:rFonts w:ascii="Verdana" w:hAnsi="Verdana"/>
          <w:sz w:val="25"/>
          <w:szCs w:val="25"/>
        </w:rPr>
      </w:pPr>
      <w:r w:rsidRPr="003938DB">
        <w:rPr>
          <w:rFonts w:ascii="Verdana" w:hAnsi="Verdana"/>
          <w:sz w:val="25"/>
          <w:szCs w:val="25"/>
        </w:rPr>
        <w:t>Atlantic Multi-decadal Oscillation (AMO) index and wat</w:t>
      </w:r>
      <w:r>
        <w:rPr>
          <w:rFonts w:ascii="Verdana" w:hAnsi="Verdana"/>
          <w:sz w:val="25"/>
          <w:szCs w:val="25"/>
        </w:rPr>
        <w:t>er deficit correlation analysis</w:t>
      </w:r>
    </w:p>
    <w:p w:rsidR="003938DB" w:rsidRDefault="003938DB" w:rsidP="003938DB">
      <w:pPr>
        <w:widowControl w:val="0"/>
        <w:autoSpaceDE w:val="0"/>
        <w:autoSpaceDN w:val="0"/>
        <w:adjustRightInd w:val="0"/>
        <w:spacing w:line="480" w:lineRule="auto"/>
        <w:ind w:firstLine="720"/>
      </w:pPr>
      <w:r>
        <w:lastRenderedPageBreak/>
        <w:t>The Atlantic Multi-decadal Oscillation (AMO) is the oscillatory climate pattern of the North Atlantic Ocean</w:t>
      </w:r>
      <w:r w:rsidR="001D07D9">
        <w:t>, and correlated to air temperature and rainfall</w:t>
      </w:r>
      <w:r>
        <w:t xml:space="preserve">. The AMO signal is often determined from the patterns of sea surface temperature (SST) </w:t>
      </w:r>
      <w:r w:rsidR="00EB2154">
        <w:t>[6]</w:t>
      </w:r>
      <w:r>
        <w:t xml:space="preserve">. </w:t>
      </w:r>
    </w:p>
    <w:p w:rsidR="003938DB" w:rsidRDefault="001D07D9" w:rsidP="001D07D9">
      <w:pPr>
        <w:widowControl w:val="0"/>
        <w:autoSpaceDE w:val="0"/>
        <w:autoSpaceDN w:val="0"/>
        <w:adjustRightInd w:val="0"/>
        <w:spacing w:line="480" w:lineRule="auto"/>
        <w:ind w:firstLine="720"/>
      </w:pPr>
      <w:r>
        <w:t>We examined t</w:t>
      </w:r>
      <w:r w:rsidR="003938DB">
        <w:t xml:space="preserve">he relationship between monthly water deficit anomalies and monthly AMO index using a </w:t>
      </w:r>
      <w:proofErr w:type="spellStart"/>
      <w:r w:rsidR="003938DB">
        <w:t>spatio</w:t>
      </w:r>
      <w:proofErr w:type="spellEnd"/>
      <w:r w:rsidR="003938DB">
        <w:t xml:space="preserve">-temporal cross-correlation analysis. </w:t>
      </w:r>
      <w:r>
        <w:t>The m</w:t>
      </w:r>
      <w:r w:rsidR="003938DB">
        <w:t xml:space="preserve">onthly AMO index dataset for 1998-2010 was accessed through </w:t>
      </w:r>
      <w:r>
        <w:t>NOAA’s</w:t>
      </w:r>
      <w:r w:rsidR="003938DB">
        <w:t xml:space="preserve"> Earth System Research Laboratory (</w:t>
      </w:r>
      <w:hyperlink r:id="rId6" w:history="1">
        <w:r w:rsidR="003938DB" w:rsidRPr="003A3714">
          <w:rPr>
            <w:rStyle w:val="Hyperlink"/>
          </w:rPr>
          <w:t>http://www.esrl.noaa.gov/psd/data/timeseries/AMO/</w:t>
        </w:r>
      </w:hyperlink>
      <w:r w:rsidR="003D65C7">
        <w:t xml:space="preserve"> Accessed February 2011</w:t>
      </w:r>
      <w:r w:rsidR="003938DB">
        <w:t>)</w:t>
      </w:r>
      <w:r>
        <w:t>,</w:t>
      </w:r>
      <w:r w:rsidR="003938DB">
        <w:t xml:space="preserve"> providing users with</w:t>
      </w:r>
      <w:r>
        <w:t xml:space="preserve"> a</w:t>
      </w:r>
      <w:r w:rsidR="003938DB">
        <w:t xml:space="preserve"> monthly time series of </w:t>
      </w:r>
      <w:r>
        <w:t xml:space="preserve">the </w:t>
      </w:r>
      <w:r w:rsidR="003938DB">
        <w:t xml:space="preserve">AMO index that </w:t>
      </w:r>
      <w:r>
        <w:t>is</w:t>
      </w:r>
      <w:r w:rsidR="003938DB">
        <w:t xml:space="preserve"> calculated from </w:t>
      </w:r>
      <w:r>
        <w:t xml:space="preserve">the </w:t>
      </w:r>
      <w:r w:rsidR="003938DB">
        <w:t xml:space="preserve">Kaplan SST dataset </w:t>
      </w:r>
      <w:r w:rsidR="00EB2154">
        <w:t>[6]</w:t>
      </w:r>
      <w:r w:rsidR="003938DB">
        <w:t xml:space="preserve">. </w:t>
      </w:r>
    </w:p>
    <w:p w:rsidR="003938DB" w:rsidRDefault="003938DB" w:rsidP="003938DB">
      <w:pPr>
        <w:widowControl w:val="0"/>
        <w:autoSpaceDE w:val="0"/>
        <w:autoSpaceDN w:val="0"/>
        <w:adjustRightInd w:val="0"/>
        <w:spacing w:line="480" w:lineRule="auto"/>
      </w:pPr>
      <w:r>
        <w:t xml:space="preserve">Monthly water deficits (WD) were calculated using TRMM monthly rainfall measurements of 1998-2010 (see </w:t>
      </w:r>
      <w:r w:rsidR="001D07D9">
        <w:t>above</w:t>
      </w:r>
      <w:r>
        <w:t>). Monthly water deficit anomalies were then calculated for each year (y) on a pixel-by-pixel (</w:t>
      </w:r>
      <w:proofErr w:type="spellStart"/>
      <w:r>
        <w:t>i</w:t>
      </w:r>
      <w:proofErr w:type="gramStart"/>
      <w:r>
        <w:t>,j</w:t>
      </w:r>
      <w:proofErr w:type="spellEnd"/>
      <w:proofErr w:type="gramEnd"/>
      <w:r>
        <w:t>) basis as a departure from the 1998-2010 mean (</w:t>
      </w:r>
      <w:r>
        <w:rPr>
          <w:b/>
          <w:bCs/>
        </w:rPr>
        <w:t>WD</w:t>
      </w:r>
      <w:r>
        <w:rPr>
          <w:b/>
          <w:bCs/>
          <w:sz w:val="16"/>
          <w:szCs w:val="16"/>
        </w:rPr>
        <w:t>1998-2010</w:t>
      </w:r>
      <w:r>
        <w:t>), excluding the measurement from year (y) and normalized by the standard deviation STD:</w:t>
      </w:r>
    </w:p>
    <w:p w:rsidR="003938DB" w:rsidRDefault="003938DB" w:rsidP="003938DB">
      <w:pPr>
        <w:widowControl w:val="0"/>
        <w:autoSpaceDE w:val="0"/>
        <w:autoSpaceDN w:val="0"/>
        <w:adjustRightInd w:val="0"/>
        <w:spacing w:line="480" w:lineRule="auto"/>
      </w:pPr>
    </w:p>
    <w:p w:rsidR="003938DB" w:rsidRDefault="003938DB" w:rsidP="003938DB">
      <w:pPr>
        <w:widowControl w:val="0"/>
        <w:autoSpaceDE w:val="0"/>
        <w:autoSpaceDN w:val="0"/>
        <w:adjustRightInd w:val="0"/>
        <w:spacing w:line="480" w:lineRule="auto"/>
      </w:pPr>
      <w:r w:rsidRPr="00EB4D0C">
        <w:rPr>
          <w:position w:val="-30"/>
        </w:rPr>
        <w:object w:dxaOrig="4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4pt;height:36.95pt" o:ole="">
            <v:imagedata r:id="rId7" o:title=""/>
          </v:shape>
          <o:OLEObject Type="Embed" ProgID="Equation.3" ShapeID="_x0000_i1025" DrawAspect="Content" ObjectID="_1433674190" r:id="rId8"/>
        </w:object>
      </w:r>
    </w:p>
    <w:p w:rsidR="003938DB" w:rsidRDefault="003938DB" w:rsidP="003938DB">
      <w:pPr>
        <w:widowControl w:val="0"/>
        <w:autoSpaceDE w:val="0"/>
        <w:autoSpaceDN w:val="0"/>
        <w:adjustRightInd w:val="0"/>
        <w:spacing w:line="480" w:lineRule="auto"/>
      </w:pPr>
    </w:p>
    <w:p w:rsidR="003938DB" w:rsidRDefault="003938DB" w:rsidP="003938DB">
      <w:pPr>
        <w:widowControl w:val="0"/>
        <w:autoSpaceDE w:val="0"/>
        <w:autoSpaceDN w:val="0"/>
        <w:adjustRightInd w:val="0"/>
        <w:spacing w:line="480" w:lineRule="auto"/>
      </w:pPr>
      <w:r>
        <w:t>Pearson’s correlation coefficient between the ranks of variables was calculated on pixel-to-pixel basis using:</w:t>
      </w:r>
    </w:p>
    <w:p w:rsidR="003938DB" w:rsidRDefault="003938DB" w:rsidP="003938DB">
      <w:pPr>
        <w:widowControl w:val="0"/>
        <w:autoSpaceDE w:val="0"/>
        <w:autoSpaceDN w:val="0"/>
        <w:adjustRightInd w:val="0"/>
        <w:spacing w:line="480" w:lineRule="auto"/>
      </w:pPr>
    </w:p>
    <w:p w:rsidR="003938DB" w:rsidRDefault="003938DB" w:rsidP="003938DB">
      <w:pPr>
        <w:widowControl w:val="0"/>
        <w:autoSpaceDE w:val="0"/>
        <w:autoSpaceDN w:val="0"/>
        <w:adjustRightInd w:val="0"/>
        <w:spacing w:line="480" w:lineRule="auto"/>
      </w:pPr>
      <w:r w:rsidRPr="007812CF">
        <w:rPr>
          <w:position w:val="-58"/>
        </w:rPr>
        <w:object w:dxaOrig="2720" w:dyaOrig="1200">
          <v:shape id="_x0000_i1026" type="#_x0000_t75" style="width:135.85pt;height:60.1pt" o:ole="">
            <v:imagedata r:id="rId9" o:title=""/>
          </v:shape>
          <o:OLEObject Type="Embed" ProgID="Equation.3" ShapeID="_x0000_i1026" DrawAspect="Content" ObjectID="_1433674191" r:id="rId10"/>
        </w:object>
      </w:r>
    </w:p>
    <w:p w:rsidR="003938DB" w:rsidRDefault="003938DB" w:rsidP="003938DB">
      <w:pPr>
        <w:widowControl w:val="0"/>
        <w:autoSpaceDE w:val="0"/>
        <w:autoSpaceDN w:val="0"/>
        <w:adjustRightInd w:val="0"/>
        <w:spacing w:line="480" w:lineRule="auto"/>
      </w:pPr>
    </w:p>
    <w:p w:rsidR="003938DB" w:rsidRDefault="003938DB" w:rsidP="003938DB">
      <w:pPr>
        <w:widowControl w:val="0"/>
        <w:autoSpaceDE w:val="0"/>
        <w:autoSpaceDN w:val="0"/>
        <w:adjustRightInd w:val="0"/>
        <w:spacing w:line="480" w:lineRule="auto"/>
      </w:pPr>
      <w:proofErr w:type="gramStart"/>
      <w:r>
        <w:t>where</w:t>
      </w:r>
      <w:proofErr w:type="gramEnd"/>
      <w:r>
        <w:t xml:space="preserve"> r</w:t>
      </w:r>
      <w:r w:rsidR="001D07D9">
        <w:t xml:space="preserve"> is</w:t>
      </w:r>
      <w:r>
        <w:t xml:space="preserve"> known as the Spearman rho between ranked variables x</w:t>
      </w:r>
      <w:r>
        <w:rPr>
          <w:sz w:val="16"/>
          <w:szCs w:val="16"/>
        </w:rPr>
        <w:t xml:space="preserve">i </w:t>
      </w:r>
      <w:r>
        <w:t xml:space="preserve">and </w:t>
      </w:r>
      <w:proofErr w:type="spellStart"/>
      <w:r>
        <w:t>y</w:t>
      </w:r>
      <w:r>
        <w:rPr>
          <w:sz w:val="16"/>
          <w:szCs w:val="16"/>
        </w:rPr>
        <w:t>i</w:t>
      </w:r>
      <w:proofErr w:type="spellEnd"/>
      <w:r>
        <w:rPr>
          <w:sz w:val="16"/>
          <w:szCs w:val="16"/>
        </w:rPr>
        <w:t xml:space="preserve"> </w:t>
      </w:r>
      <w:r>
        <w:t>at a pixel location</w:t>
      </w:r>
      <w:r w:rsidR="001D07D9">
        <w:t xml:space="preserve">, </w:t>
      </w:r>
      <w:r>
        <w:t xml:space="preserve">with </w:t>
      </w:r>
      <w:r w:rsidRPr="007812CF">
        <w:rPr>
          <w:position w:val="-6"/>
        </w:rPr>
        <w:object w:dxaOrig="220" w:dyaOrig="260">
          <v:shape id="_x0000_i1027" type="#_x0000_t75" style="width:11.25pt;height:13.15pt" o:ole="">
            <v:imagedata r:id="rId11" o:title=""/>
          </v:shape>
          <o:OLEObject Type="Embed" ProgID="Equation.3" ShapeID="_x0000_i1027" DrawAspect="Content" ObjectID="_1433674192" r:id="rId12"/>
        </w:object>
      </w:r>
      <w:r>
        <w:t xml:space="preserve">and </w:t>
      </w:r>
      <w:r w:rsidRPr="007812CF">
        <w:rPr>
          <w:position w:val="-10"/>
        </w:rPr>
        <w:object w:dxaOrig="220" w:dyaOrig="300">
          <v:shape id="_x0000_i1028" type="#_x0000_t75" style="width:11.25pt;height:15.65pt" o:ole="">
            <v:imagedata r:id="rId13" o:title=""/>
          </v:shape>
          <o:OLEObject Type="Embed" ProgID="Equation.3" ShapeID="_x0000_i1028" DrawAspect="Content" ObjectID="_1433674193" r:id="rId14"/>
        </w:object>
      </w:r>
      <w:r>
        <w:t>being the average of variables over the time interval. In this case, x</w:t>
      </w:r>
      <w:r>
        <w:rPr>
          <w:sz w:val="16"/>
          <w:szCs w:val="16"/>
        </w:rPr>
        <w:t xml:space="preserve">i </w:t>
      </w:r>
      <w:r>
        <w:t xml:space="preserve">and </w:t>
      </w:r>
      <w:proofErr w:type="spellStart"/>
      <w:r>
        <w:t>y</w:t>
      </w:r>
      <w:r>
        <w:rPr>
          <w:sz w:val="16"/>
          <w:szCs w:val="16"/>
        </w:rPr>
        <w:t>i</w:t>
      </w:r>
      <w:proofErr w:type="spellEnd"/>
      <w:r>
        <w:rPr>
          <w:sz w:val="16"/>
          <w:szCs w:val="16"/>
        </w:rPr>
        <w:t xml:space="preserve"> </w:t>
      </w:r>
      <w:r>
        <w:t xml:space="preserve">are monthly water deficit anomalies and monthly AMO index </w:t>
      </w:r>
      <w:r w:rsidR="001D07D9">
        <w:t xml:space="preserve">respectively </w:t>
      </w:r>
      <w:r>
        <w:t xml:space="preserve">over the period 1998-2010. </w:t>
      </w:r>
    </w:p>
    <w:p w:rsidR="003D65C7" w:rsidRDefault="003D65C7" w:rsidP="004528D5">
      <w:pPr>
        <w:spacing w:line="480" w:lineRule="auto"/>
        <w:rPr>
          <w:rFonts w:ascii="Verdana" w:hAnsi="Verdana"/>
          <w:sz w:val="25"/>
          <w:szCs w:val="25"/>
        </w:rPr>
      </w:pPr>
    </w:p>
    <w:p w:rsidR="003D65C7" w:rsidRDefault="003D65C7" w:rsidP="003D65C7">
      <w:pPr>
        <w:ind w:left="720" w:hanging="720"/>
        <w:rPr>
          <w:noProof/>
        </w:rPr>
      </w:pPr>
      <w:bookmarkStart w:id="0" w:name="_ENREF_1"/>
      <w:r>
        <w:rPr>
          <w:noProof/>
        </w:rPr>
        <w:t>1. Kummerow C, Barnes W, Kozu T, Shiue J, Simpson J (1998) The Tropical Rainfall Measuring Mission (TRMM) sensor package. Journal of Atmospheric and Oceanic Technology 15: 809-817.</w:t>
      </w:r>
      <w:bookmarkEnd w:id="0"/>
    </w:p>
    <w:p w:rsidR="003D65C7" w:rsidRDefault="003D65C7" w:rsidP="003D65C7">
      <w:pPr>
        <w:ind w:left="720" w:hanging="720"/>
        <w:rPr>
          <w:noProof/>
        </w:rPr>
      </w:pPr>
      <w:bookmarkStart w:id="1" w:name="_ENREF_2"/>
      <w:r>
        <w:rPr>
          <w:noProof/>
        </w:rPr>
        <w:t>2. Asefi-Najafabady S, Saatchi S (accepted pending revisions) Impacts of climate variability on African Tropical Rainforest. Geophysical Research Letters.</w:t>
      </w:r>
      <w:bookmarkEnd w:id="1"/>
    </w:p>
    <w:p w:rsidR="003D65C7" w:rsidRDefault="003D65C7" w:rsidP="003D65C7">
      <w:pPr>
        <w:ind w:left="720" w:hanging="720"/>
        <w:rPr>
          <w:noProof/>
        </w:rPr>
      </w:pPr>
      <w:bookmarkStart w:id="2" w:name="_ENREF_3"/>
      <w:r>
        <w:rPr>
          <w:noProof/>
        </w:rPr>
        <w:t>3. Aragao L, Malhi Y, Roman-Cuesta RM, Saatchi S, Anderson LO, et al. (2007) Spatial patterns and fire response of recent Amazonian droughts. Geophysical Research Letters 34.</w:t>
      </w:r>
      <w:bookmarkEnd w:id="2"/>
    </w:p>
    <w:p w:rsidR="003D65C7" w:rsidRDefault="003D65C7" w:rsidP="003D65C7">
      <w:pPr>
        <w:ind w:left="720" w:hanging="720"/>
        <w:rPr>
          <w:noProof/>
        </w:rPr>
      </w:pPr>
      <w:bookmarkStart w:id="3" w:name="_ENREF_4"/>
      <w:r>
        <w:rPr>
          <w:noProof/>
        </w:rPr>
        <w:t>4. da Rocha HR, Goulden ML, Miller SD, Menton MC, Pinto L, et al. (2004) Seasonality of water and heat fluxes over a tropical forest in eastern Amazonia. Ecological Applications 14: S22-S32.</w:t>
      </w:r>
      <w:bookmarkEnd w:id="3"/>
    </w:p>
    <w:p w:rsidR="003D65C7" w:rsidRDefault="003D65C7" w:rsidP="003D65C7">
      <w:pPr>
        <w:ind w:left="720" w:hanging="720"/>
        <w:rPr>
          <w:noProof/>
        </w:rPr>
      </w:pPr>
      <w:bookmarkStart w:id="4" w:name="_ENREF_5"/>
      <w:r>
        <w:rPr>
          <w:noProof/>
        </w:rPr>
        <w:t>5. Shuttleworth WJ (1989) Micrometeorology of temperate and tropical forest. Philosophical Transactions of the Royal Society of London Series B-Biological Sciences 324: 299-334.</w:t>
      </w:r>
      <w:bookmarkEnd w:id="4"/>
    </w:p>
    <w:p w:rsidR="003D65C7" w:rsidRDefault="003D65C7" w:rsidP="003D65C7">
      <w:pPr>
        <w:ind w:left="720" w:hanging="720"/>
        <w:rPr>
          <w:noProof/>
        </w:rPr>
      </w:pPr>
      <w:r w:rsidRPr="00EB2154">
        <w:rPr>
          <w:noProof/>
        </w:rPr>
        <w:t xml:space="preserve">6. </w:t>
      </w:r>
      <w:r>
        <w:rPr>
          <w:noProof/>
        </w:rPr>
        <w:t>Enfield  DB, Mestas-Nunez AM, and Trimble P</w:t>
      </w:r>
      <w:r w:rsidRPr="00EB2154">
        <w:rPr>
          <w:noProof/>
        </w:rPr>
        <w:t>J (2001) The Atlantic Multidecadal Oscillation and its relationship to rainfall and river flows in the continental U.S. Geophysical Research Letters 28:</w:t>
      </w:r>
      <w:r>
        <w:rPr>
          <w:noProof/>
        </w:rPr>
        <w:t xml:space="preserve"> </w:t>
      </w:r>
      <w:r w:rsidRPr="00EB2154">
        <w:rPr>
          <w:noProof/>
        </w:rPr>
        <w:t>2077-2080</w:t>
      </w:r>
    </w:p>
    <w:p w:rsidR="00E42A08" w:rsidRDefault="003D65C7" w:rsidP="003D65C7">
      <w:pPr>
        <w:spacing w:line="480" w:lineRule="auto"/>
      </w:pPr>
      <w:bookmarkStart w:id="5" w:name="_GoBack"/>
      <w:bookmarkEnd w:id="5"/>
      <w:r>
        <w:t xml:space="preserve"> </w:t>
      </w:r>
    </w:p>
    <w:sectPr w:rsidR="00E42A08" w:rsidSect="002E48D3">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86" w:rsidRDefault="00967586" w:rsidP="00B11054">
      <w:r>
        <w:separator/>
      </w:r>
    </w:p>
  </w:endnote>
  <w:endnote w:type="continuationSeparator" w:id="0">
    <w:p w:rsidR="00967586" w:rsidRDefault="00967586" w:rsidP="00B11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54" w:rsidRDefault="005440A0">
    <w:pPr>
      <w:pStyle w:val="Footer"/>
      <w:jc w:val="center"/>
    </w:pPr>
    <w:r>
      <w:fldChar w:fldCharType="begin"/>
    </w:r>
    <w:r w:rsidR="00B11054">
      <w:instrText xml:space="preserve"> PAGE   \* MERGEFORMAT </w:instrText>
    </w:r>
    <w:r>
      <w:fldChar w:fldCharType="separate"/>
    </w:r>
    <w:r w:rsidR="003D65C7">
      <w:rPr>
        <w:noProof/>
      </w:rPr>
      <w:t>1</w:t>
    </w:r>
    <w:r>
      <w:rPr>
        <w:noProof/>
      </w:rPr>
      <w:fldChar w:fldCharType="end"/>
    </w:r>
  </w:p>
  <w:p w:rsidR="00B11054" w:rsidRDefault="00B11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86" w:rsidRDefault="00967586" w:rsidP="00B11054">
      <w:r>
        <w:separator/>
      </w:r>
    </w:p>
  </w:footnote>
  <w:footnote w:type="continuationSeparator" w:id="0">
    <w:p w:rsidR="00967586" w:rsidRDefault="00967586" w:rsidP="00B11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2009&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va0wpvswrt24epxwcpv5eedpxvawexdvvz&quot;&gt;PLoSONE&lt;record-ids&gt;&lt;item&gt;21&lt;/item&gt;&lt;item&gt;63&lt;/item&gt;&lt;item&gt;75&lt;/item&gt;&lt;item&gt;92&lt;/item&gt;&lt;item&gt;93&lt;/item&gt;&lt;item&gt;95&lt;/item&gt;&lt;item&gt;96&lt;/item&gt;&lt;/record-ids&gt;&lt;/item&gt;&lt;/Libraries&gt;"/>
  </w:docVars>
  <w:rsids>
    <w:rsidRoot w:val="004528D5"/>
    <w:rsid w:val="00003DFE"/>
    <w:rsid w:val="000C280C"/>
    <w:rsid w:val="000D3AF4"/>
    <w:rsid w:val="001036BB"/>
    <w:rsid w:val="00115344"/>
    <w:rsid w:val="00134A58"/>
    <w:rsid w:val="00136F20"/>
    <w:rsid w:val="001D07D9"/>
    <w:rsid w:val="001D215B"/>
    <w:rsid w:val="002E48D3"/>
    <w:rsid w:val="00370A48"/>
    <w:rsid w:val="00390D8C"/>
    <w:rsid w:val="003938DB"/>
    <w:rsid w:val="003D65C7"/>
    <w:rsid w:val="00405275"/>
    <w:rsid w:val="00421279"/>
    <w:rsid w:val="00424614"/>
    <w:rsid w:val="004343EE"/>
    <w:rsid w:val="004528D5"/>
    <w:rsid w:val="0047482D"/>
    <w:rsid w:val="004A5A7A"/>
    <w:rsid w:val="004C5811"/>
    <w:rsid w:val="004C6F92"/>
    <w:rsid w:val="005440A0"/>
    <w:rsid w:val="005508E9"/>
    <w:rsid w:val="0055476A"/>
    <w:rsid w:val="005E0417"/>
    <w:rsid w:val="00654874"/>
    <w:rsid w:val="006C01F0"/>
    <w:rsid w:val="00711E75"/>
    <w:rsid w:val="007623FB"/>
    <w:rsid w:val="0077464D"/>
    <w:rsid w:val="007760A5"/>
    <w:rsid w:val="00776954"/>
    <w:rsid w:val="007949B5"/>
    <w:rsid w:val="007A44F6"/>
    <w:rsid w:val="007C1E1A"/>
    <w:rsid w:val="007F4A2B"/>
    <w:rsid w:val="008126BB"/>
    <w:rsid w:val="008F7F41"/>
    <w:rsid w:val="0091385D"/>
    <w:rsid w:val="00967586"/>
    <w:rsid w:val="009C1EFE"/>
    <w:rsid w:val="009E6FC5"/>
    <w:rsid w:val="00AB4A8A"/>
    <w:rsid w:val="00B11054"/>
    <w:rsid w:val="00B11A6B"/>
    <w:rsid w:val="00B32D15"/>
    <w:rsid w:val="00B81B6C"/>
    <w:rsid w:val="00BE3D35"/>
    <w:rsid w:val="00C3001F"/>
    <w:rsid w:val="00C85D67"/>
    <w:rsid w:val="00C967D3"/>
    <w:rsid w:val="00CC6933"/>
    <w:rsid w:val="00D6201E"/>
    <w:rsid w:val="00DE48A0"/>
    <w:rsid w:val="00E0522A"/>
    <w:rsid w:val="00E13D2A"/>
    <w:rsid w:val="00E42A08"/>
    <w:rsid w:val="00E76018"/>
    <w:rsid w:val="00E76B03"/>
    <w:rsid w:val="00EB2154"/>
    <w:rsid w:val="00FF1BEC"/>
    <w:rsid w:val="00FF3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D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1E75"/>
    <w:rPr>
      <w:rFonts w:cs="Times New Roman"/>
      <w:color w:val="0000FF"/>
      <w:u w:val="single"/>
    </w:rPr>
  </w:style>
  <w:style w:type="character" w:styleId="PlaceholderText">
    <w:name w:val="Placeholder Text"/>
    <w:uiPriority w:val="99"/>
    <w:semiHidden/>
    <w:rsid w:val="00405275"/>
    <w:rPr>
      <w:rFonts w:cs="Times New Roman"/>
      <w:color w:val="808080"/>
    </w:rPr>
  </w:style>
  <w:style w:type="paragraph" w:styleId="BalloonText">
    <w:name w:val="Balloon Text"/>
    <w:basedOn w:val="Normal"/>
    <w:link w:val="BalloonTextChar"/>
    <w:uiPriority w:val="99"/>
    <w:semiHidden/>
    <w:rsid w:val="00405275"/>
    <w:rPr>
      <w:rFonts w:ascii="Tahoma" w:hAnsi="Tahoma" w:cs="Tahoma"/>
      <w:sz w:val="16"/>
      <w:szCs w:val="16"/>
    </w:rPr>
  </w:style>
  <w:style w:type="character" w:customStyle="1" w:styleId="BalloonTextChar">
    <w:name w:val="Balloon Text Char"/>
    <w:link w:val="BalloonText"/>
    <w:uiPriority w:val="99"/>
    <w:semiHidden/>
    <w:locked/>
    <w:rsid w:val="00405275"/>
    <w:rPr>
      <w:rFonts w:ascii="Tahoma" w:hAnsi="Tahoma" w:cs="Tahoma"/>
      <w:sz w:val="16"/>
      <w:szCs w:val="16"/>
      <w:lang w:val="en-US" w:eastAsia="en-US"/>
    </w:rPr>
  </w:style>
  <w:style w:type="character" w:styleId="CommentReference">
    <w:name w:val="annotation reference"/>
    <w:uiPriority w:val="99"/>
    <w:semiHidden/>
    <w:rsid w:val="00003DFE"/>
    <w:rPr>
      <w:rFonts w:cs="Times New Roman"/>
      <w:sz w:val="16"/>
      <w:szCs w:val="16"/>
    </w:rPr>
  </w:style>
  <w:style w:type="paragraph" w:styleId="CommentText">
    <w:name w:val="annotation text"/>
    <w:basedOn w:val="Normal"/>
    <w:link w:val="CommentTextChar"/>
    <w:uiPriority w:val="99"/>
    <w:semiHidden/>
    <w:rsid w:val="00003DFE"/>
    <w:rPr>
      <w:sz w:val="20"/>
      <w:szCs w:val="20"/>
    </w:rPr>
  </w:style>
  <w:style w:type="character" w:customStyle="1" w:styleId="CommentTextChar">
    <w:name w:val="Comment Text Char"/>
    <w:link w:val="CommentText"/>
    <w:uiPriority w:val="99"/>
    <w:semiHidden/>
    <w:rsid w:val="000D029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003DFE"/>
    <w:rPr>
      <w:b/>
      <w:bCs/>
    </w:rPr>
  </w:style>
  <w:style w:type="character" w:customStyle="1" w:styleId="CommentSubjectChar">
    <w:name w:val="Comment Subject Char"/>
    <w:link w:val="CommentSubject"/>
    <w:uiPriority w:val="99"/>
    <w:semiHidden/>
    <w:rsid w:val="000D029C"/>
    <w:rPr>
      <w:rFonts w:ascii="Times New Roman" w:eastAsia="Times New Roman" w:hAnsi="Times New Roman"/>
      <w:b/>
      <w:bCs/>
      <w:sz w:val="20"/>
      <w:szCs w:val="20"/>
    </w:rPr>
  </w:style>
  <w:style w:type="character" w:styleId="LineNumber">
    <w:name w:val="line number"/>
    <w:uiPriority w:val="99"/>
    <w:semiHidden/>
    <w:unhideWhenUsed/>
    <w:rsid w:val="002E48D3"/>
  </w:style>
  <w:style w:type="paragraph" w:styleId="Header">
    <w:name w:val="header"/>
    <w:basedOn w:val="Normal"/>
    <w:link w:val="HeaderChar"/>
    <w:uiPriority w:val="99"/>
    <w:unhideWhenUsed/>
    <w:rsid w:val="00B11054"/>
    <w:pPr>
      <w:tabs>
        <w:tab w:val="center" w:pos="4513"/>
        <w:tab w:val="right" w:pos="9026"/>
      </w:tabs>
    </w:pPr>
  </w:style>
  <w:style w:type="character" w:customStyle="1" w:styleId="HeaderChar">
    <w:name w:val="Header Char"/>
    <w:link w:val="Header"/>
    <w:uiPriority w:val="99"/>
    <w:rsid w:val="00B1105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11054"/>
    <w:pPr>
      <w:tabs>
        <w:tab w:val="center" w:pos="4513"/>
        <w:tab w:val="right" w:pos="9026"/>
      </w:tabs>
    </w:pPr>
  </w:style>
  <w:style w:type="character" w:customStyle="1" w:styleId="FooterChar">
    <w:name w:val="Footer Char"/>
    <w:link w:val="Footer"/>
    <w:uiPriority w:val="99"/>
    <w:rsid w:val="00B1105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rl.noaa.gov/psd/data/timeseries/AMO/"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2</cp:revision>
  <dcterms:created xsi:type="dcterms:W3CDTF">2013-06-25T12:03:00Z</dcterms:created>
  <dcterms:modified xsi:type="dcterms:W3CDTF">2013-06-25T12:03:00Z</dcterms:modified>
</cp:coreProperties>
</file>