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9C" w:rsidRDefault="00AE5F9C" w:rsidP="00AE5F9C">
      <w:pPr>
        <w:pStyle w:val="Heading3"/>
        <w:spacing w:line="276" w:lineRule="auto"/>
      </w:pPr>
      <w:r w:rsidRPr="00D47A19">
        <w:rPr>
          <w:rFonts w:ascii="Times New Roman" w:hAnsi="Times New Roman"/>
          <w:bCs/>
          <w:color w:val="auto"/>
          <w:sz w:val="22"/>
          <w:szCs w:val="22"/>
          <w:lang w:val="en-GB"/>
        </w:rPr>
        <w:t>Table S</w:t>
      </w:r>
      <w:r>
        <w:rPr>
          <w:rFonts w:ascii="Times New Roman" w:hAnsi="Times New Roman"/>
          <w:bCs/>
          <w:color w:val="auto"/>
          <w:sz w:val="22"/>
          <w:szCs w:val="22"/>
          <w:lang w:val="en-GB"/>
        </w:rPr>
        <w:t>21</w:t>
      </w:r>
      <w:r w:rsidRPr="00D47A19">
        <w:rPr>
          <w:rFonts w:ascii="Times New Roman" w:hAnsi="Times New Roman"/>
          <w:bCs/>
          <w:color w:val="auto"/>
          <w:sz w:val="22"/>
          <w:szCs w:val="22"/>
          <w:lang w:val="en-GB"/>
        </w:rPr>
        <w:t xml:space="preserve">: Summary of the potential impacts of sources of uncertainty on numbers of climate change vulnerable </w:t>
      </w:r>
      <w:r>
        <w:rPr>
          <w:rFonts w:ascii="Times New Roman" w:hAnsi="Times New Roman"/>
          <w:bCs/>
          <w:color w:val="auto"/>
          <w:sz w:val="22"/>
          <w:szCs w:val="22"/>
          <w:u w:val="single"/>
          <w:lang w:val="en-GB"/>
        </w:rPr>
        <w:t>coral</w:t>
      </w:r>
      <w:r w:rsidRPr="00D47A19">
        <w:rPr>
          <w:rFonts w:ascii="Times New Roman" w:hAnsi="Times New Roman"/>
          <w:bCs/>
          <w:color w:val="auto"/>
          <w:sz w:val="22"/>
          <w:szCs w:val="22"/>
          <w:lang w:val="en-GB"/>
        </w:rPr>
        <w:t xml:space="preserve"> species</w:t>
      </w:r>
      <w:r w:rsidRPr="00D47A19">
        <w:rPr>
          <w:rFonts w:ascii="Times New Roman" w:hAnsi="Times New Roman"/>
          <w:b w:val="0"/>
          <w:bCs/>
          <w:color w:val="auto"/>
          <w:sz w:val="22"/>
          <w:szCs w:val="22"/>
          <w:lang w:val="en-GB"/>
        </w:rPr>
        <w:t xml:space="preserve">. These include scenarios of impacts of missing data (unknowns), the choice of percentage thresholds, the selection of thresholds by experts, the greenhouse gas emission scenario applied and the time frames considered. Percentages represent the numbers of vulnerable species relative to the total number of species. Emissions scenarios and time frame results presented are for terrestrial regions only. Except where specified, assessments are based on optimistic </w:t>
      </w:r>
      <w:proofErr w:type="gramStart"/>
      <w:r w:rsidRPr="00D47A19">
        <w:rPr>
          <w:rFonts w:ascii="Times New Roman" w:hAnsi="Times New Roman"/>
          <w:b w:val="0"/>
          <w:bCs/>
          <w:color w:val="auto"/>
          <w:sz w:val="22"/>
          <w:szCs w:val="22"/>
          <w:lang w:val="en-GB"/>
        </w:rPr>
        <w:t>unknowns</w:t>
      </w:r>
      <w:proofErr w:type="gramEnd"/>
      <w:r w:rsidRPr="00D47A19">
        <w:rPr>
          <w:rFonts w:ascii="Times New Roman" w:hAnsi="Times New Roman"/>
          <w:b w:val="0"/>
          <w:bCs/>
          <w:color w:val="auto"/>
          <w:sz w:val="22"/>
          <w:szCs w:val="22"/>
          <w:lang w:val="en-GB"/>
        </w:rPr>
        <w:t xml:space="preserve"> scenario under emissions scenario A1B for 2050.</w:t>
      </w:r>
    </w:p>
    <w:p w:rsidR="00AE5F9C" w:rsidRDefault="00AE5F9C" w:rsidP="00AE5F9C">
      <w:pPr>
        <w:rPr>
          <w:rFonts w:ascii="Cambria" w:hAnsi="Cambria"/>
          <w:b/>
          <w:bCs/>
          <w:color w:val="365F91"/>
          <w:sz w:val="28"/>
          <w:szCs w:val="28"/>
          <w:lang w:eastAsia="en-GB"/>
        </w:rPr>
      </w:pPr>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4"/>
        <w:gridCol w:w="2275"/>
        <w:gridCol w:w="1276"/>
        <w:gridCol w:w="516"/>
        <w:gridCol w:w="1185"/>
        <w:gridCol w:w="567"/>
        <w:gridCol w:w="1276"/>
        <w:gridCol w:w="567"/>
      </w:tblGrid>
      <w:tr w:rsidR="00AE5F9C" w:rsidRPr="00633574" w:rsidTr="00F25598">
        <w:trPr>
          <w:trHeight w:val="270"/>
        </w:trPr>
        <w:tc>
          <w:tcPr>
            <w:tcW w:w="1284" w:type="dxa"/>
            <w:noWrap/>
            <w:vAlign w:val="center"/>
          </w:tcPr>
          <w:p w:rsidR="00AE5F9C" w:rsidRPr="00633574" w:rsidRDefault="00AE5F9C" w:rsidP="00F25598">
            <w:pPr>
              <w:spacing w:before="0" w:line="240" w:lineRule="auto"/>
              <w:jc w:val="center"/>
              <w:rPr>
                <w:sz w:val="20"/>
                <w:szCs w:val="20"/>
                <w:lang w:val="en-US"/>
              </w:rPr>
            </w:pPr>
          </w:p>
        </w:tc>
        <w:tc>
          <w:tcPr>
            <w:tcW w:w="2275" w:type="dxa"/>
            <w:noWrap/>
            <w:vAlign w:val="center"/>
          </w:tcPr>
          <w:p w:rsidR="00AE5F9C" w:rsidRPr="00633574" w:rsidRDefault="00AE5F9C" w:rsidP="00F25598">
            <w:pPr>
              <w:spacing w:before="0" w:line="240" w:lineRule="auto"/>
              <w:jc w:val="center"/>
              <w:rPr>
                <w:sz w:val="20"/>
                <w:szCs w:val="20"/>
                <w:lang w:val="en-US"/>
              </w:rPr>
            </w:pP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Low/Lenient</w:t>
            </w:r>
          </w:p>
        </w:tc>
        <w:tc>
          <w:tcPr>
            <w:tcW w:w="516" w:type="dxa"/>
            <w:noWrap/>
            <w:vAlign w:val="center"/>
          </w:tcPr>
          <w:p w:rsidR="00AE5F9C" w:rsidRPr="00B4407A" w:rsidRDefault="00AE5F9C" w:rsidP="00F25598">
            <w:pPr>
              <w:spacing w:before="0" w:line="240" w:lineRule="auto"/>
              <w:jc w:val="center"/>
              <w:rPr>
                <w:b/>
                <w:i/>
                <w:iCs/>
                <w:sz w:val="20"/>
                <w:szCs w:val="20"/>
                <w:lang w:val="en-US"/>
              </w:rPr>
            </w:pPr>
            <w:r w:rsidRPr="00B4407A">
              <w:rPr>
                <w:b/>
                <w:i/>
                <w:iCs/>
                <w:sz w:val="20"/>
                <w:szCs w:val="20"/>
                <w:lang w:val="en-US"/>
              </w:rPr>
              <w:t>%</w:t>
            </w:r>
          </w:p>
        </w:tc>
        <w:tc>
          <w:tcPr>
            <w:tcW w:w="118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Mid</w:t>
            </w:r>
          </w:p>
        </w:tc>
        <w:tc>
          <w:tcPr>
            <w:tcW w:w="567" w:type="dxa"/>
            <w:noWrap/>
            <w:vAlign w:val="center"/>
          </w:tcPr>
          <w:p w:rsidR="00AE5F9C" w:rsidRPr="00B4407A" w:rsidRDefault="00AE5F9C" w:rsidP="00F25598">
            <w:pPr>
              <w:spacing w:before="0" w:line="240" w:lineRule="auto"/>
              <w:jc w:val="center"/>
              <w:rPr>
                <w:b/>
                <w:i/>
                <w:iCs/>
                <w:sz w:val="20"/>
                <w:szCs w:val="20"/>
                <w:lang w:val="en-US"/>
              </w:rPr>
            </w:pPr>
            <w:r w:rsidRPr="00B4407A">
              <w:rPr>
                <w:b/>
                <w:i/>
                <w:iCs/>
                <w:sz w:val="20"/>
                <w:szCs w:val="20"/>
                <w:lang w:val="en-US"/>
              </w:rPr>
              <w:t>%</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High/Strict</w:t>
            </w:r>
          </w:p>
        </w:tc>
        <w:tc>
          <w:tcPr>
            <w:tcW w:w="567" w:type="dxa"/>
            <w:noWrap/>
            <w:vAlign w:val="center"/>
          </w:tcPr>
          <w:p w:rsidR="00AE5F9C" w:rsidRPr="00B4407A" w:rsidRDefault="00AE5F9C" w:rsidP="00F25598">
            <w:pPr>
              <w:spacing w:before="0" w:line="240" w:lineRule="auto"/>
              <w:jc w:val="center"/>
              <w:rPr>
                <w:b/>
                <w:i/>
                <w:iCs/>
                <w:sz w:val="20"/>
                <w:szCs w:val="20"/>
                <w:lang w:val="en-US"/>
              </w:rPr>
            </w:pPr>
            <w:r w:rsidRPr="00B4407A">
              <w:rPr>
                <w:b/>
                <w:i/>
                <w:iCs/>
                <w:sz w:val="20"/>
                <w:szCs w:val="20"/>
                <w:lang w:val="en-US"/>
              </w:rPr>
              <w:t>%</w:t>
            </w:r>
          </w:p>
        </w:tc>
      </w:tr>
      <w:tr w:rsidR="00AE5F9C" w:rsidRPr="00633574" w:rsidTr="00F25598">
        <w:trPr>
          <w:trHeight w:val="255"/>
        </w:trPr>
        <w:tc>
          <w:tcPr>
            <w:tcW w:w="1284" w:type="dxa"/>
            <w:vMerge w:val="restart"/>
            <w:noWrap/>
            <w:vAlign w:val="center"/>
          </w:tcPr>
          <w:p w:rsidR="00AE5F9C" w:rsidRDefault="00AE5F9C" w:rsidP="00F25598">
            <w:pPr>
              <w:spacing w:before="0" w:line="240" w:lineRule="auto"/>
              <w:jc w:val="center"/>
              <w:rPr>
                <w:sz w:val="20"/>
                <w:szCs w:val="20"/>
                <w:lang w:val="en-US"/>
              </w:rPr>
            </w:pPr>
            <w:r>
              <w:rPr>
                <w:sz w:val="20"/>
                <w:szCs w:val="20"/>
                <w:lang w:val="en-US"/>
              </w:rPr>
              <w:t>Numbers of vulnerable species</w:t>
            </w:r>
          </w:p>
          <w:p w:rsidR="00AE5F9C" w:rsidRPr="00633574" w:rsidRDefault="00AE5F9C" w:rsidP="00F25598">
            <w:pPr>
              <w:spacing w:before="0" w:line="240" w:lineRule="auto"/>
              <w:jc w:val="center"/>
              <w:rPr>
                <w:sz w:val="20"/>
                <w:szCs w:val="20"/>
                <w:lang w:val="en-US"/>
              </w:rPr>
            </w:pPr>
            <w:r w:rsidRPr="00551FE7">
              <w:rPr>
                <w:i/>
                <w:sz w:val="20"/>
                <w:szCs w:val="20"/>
                <w:lang w:val="en-US"/>
              </w:rPr>
              <w:t>(% of total species)</w:t>
            </w:r>
          </w:p>
        </w:tc>
        <w:tc>
          <w:tcPr>
            <w:tcW w:w="2275" w:type="dxa"/>
            <w:noWrap/>
            <w:vAlign w:val="center"/>
          </w:tcPr>
          <w:p w:rsidR="00AE5F9C" w:rsidRDefault="00AE5F9C" w:rsidP="00F25598">
            <w:pPr>
              <w:spacing w:before="0" w:line="240" w:lineRule="auto"/>
              <w:jc w:val="center"/>
              <w:rPr>
                <w:sz w:val="20"/>
                <w:szCs w:val="20"/>
                <w:lang w:val="en-US"/>
              </w:rPr>
            </w:pPr>
            <w:r w:rsidRPr="00633574">
              <w:rPr>
                <w:sz w:val="20"/>
                <w:szCs w:val="20"/>
                <w:lang w:val="en-US"/>
              </w:rPr>
              <w:t>Unknowns</w:t>
            </w:r>
          </w:p>
          <w:p w:rsidR="00AE5F9C" w:rsidRPr="00633574" w:rsidRDefault="00AE5F9C" w:rsidP="00F25598">
            <w:pPr>
              <w:spacing w:before="0" w:line="240" w:lineRule="auto"/>
              <w:jc w:val="center"/>
              <w:rPr>
                <w:sz w:val="20"/>
                <w:szCs w:val="20"/>
                <w:lang w:val="en-US"/>
              </w:rPr>
            </w:pPr>
            <w:r w:rsidRPr="00633574">
              <w:rPr>
                <w:sz w:val="20"/>
                <w:szCs w:val="20"/>
                <w:lang w:val="en-US"/>
              </w:rPr>
              <w:t>(pessimistic - optimistic)</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2,285</w:t>
            </w:r>
          </w:p>
        </w:tc>
        <w:tc>
          <w:tcPr>
            <w:tcW w:w="516"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23</w:t>
            </w:r>
          </w:p>
        </w:tc>
        <w:tc>
          <w:tcPr>
            <w:tcW w:w="118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121</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15</w:t>
            </w:r>
          </w:p>
        </w:tc>
        <w:tc>
          <w:tcPr>
            <w:tcW w:w="1276" w:type="dxa"/>
            <w:noWrap/>
            <w:vAlign w:val="center"/>
          </w:tcPr>
          <w:p w:rsidR="00AE5F9C" w:rsidRPr="00633574" w:rsidRDefault="00AE5F9C" w:rsidP="00F25598">
            <w:pPr>
              <w:spacing w:before="0" w:line="240" w:lineRule="auto"/>
              <w:jc w:val="center"/>
              <w:rPr>
                <w:sz w:val="20"/>
                <w:szCs w:val="20"/>
                <w:lang w:val="en-US"/>
              </w:rPr>
            </w:pPr>
            <w:r>
              <w:rPr>
                <w:sz w:val="20"/>
                <w:szCs w:val="20"/>
                <w:lang w:val="en-US"/>
              </w:rPr>
              <w:t>-</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w:t>
            </w:r>
          </w:p>
        </w:tc>
      </w:tr>
      <w:tr w:rsidR="00AE5F9C" w:rsidRPr="00633574" w:rsidTr="00F25598">
        <w:trPr>
          <w:trHeight w:val="255"/>
        </w:trPr>
        <w:tc>
          <w:tcPr>
            <w:tcW w:w="1284" w:type="dxa"/>
            <w:vMerge/>
            <w:vAlign w:val="center"/>
          </w:tcPr>
          <w:p w:rsidR="00AE5F9C" w:rsidRPr="00633574" w:rsidRDefault="00AE5F9C" w:rsidP="00F25598">
            <w:pPr>
              <w:spacing w:before="0" w:line="240" w:lineRule="auto"/>
              <w:jc w:val="center"/>
              <w:rPr>
                <w:sz w:val="20"/>
                <w:szCs w:val="20"/>
                <w:lang w:val="en-US"/>
              </w:rPr>
            </w:pPr>
          </w:p>
        </w:tc>
        <w:tc>
          <w:tcPr>
            <w:tcW w:w="2275" w:type="dxa"/>
            <w:noWrap/>
            <w:vAlign w:val="center"/>
          </w:tcPr>
          <w:p w:rsidR="00AE5F9C" w:rsidRDefault="00AE5F9C" w:rsidP="00F25598">
            <w:pPr>
              <w:spacing w:before="0" w:line="240" w:lineRule="auto"/>
              <w:jc w:val="center"/>
              <w:rPr>
                <w:sz w:val="20"/>
                <w:szCs w:val="20"/>
                <w:lang w:val="en-US"/>
              </w:rPr>
            </w:pPr>
            <w:r w:rsidRPr="00633574">
              <w:rPr>
                <w:sz w:val="20"/>
                <w:szCs w:val="20"/>
                <w:lang w:val="en-US"/>
              </w:rPr>
              <w:t>Percent thresholds</w:t>
            </w:r>
          </w:p>
          <w:p w:rsidR="00AE5F9C" w:rsidRPr="00633574" w:rsidRDefault="00AE5F9C" w:rsidP="00F25598">
            <w:pPr>
              <w:spacing w:before="0" w:line="240" w:lineRule="auto"/>
              <w:jc w:val="center"/>
              <w:rPr>
                <w:sz w:val="20"/>
                <w:szCs w:val="20"/>
                <w:lang w:val="en-US"/>
              </w:rPr>
            </w:pPr>
            <w:r w:rsidRPr="00633574">
              <w:rPr>
                <w:sz w:val="20"/>
                <w:szCs w:val="20"/>
                <w:lang w:val="en-US"/>
              </w:rPr>
              <w:t>(35%-25%-15%)</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354</w:t>
            </w:r>
          </w:p>
        </w:tc>
        <w:tc>
          <w:tcPr>
            <w:tcW w:w="516"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44</w:t>
            </w:r>
          </w:p>
        </w:tc>
        <w:tc>
          <w:tcPr>
            <w:tcW w:w="118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121</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15</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59</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7</w:t>
            </w:r>
          </w:p>
        </w:tc>
      </w:tr>
      <w:tr w:rsidR="00AE5F9C" w:rsidRPr="00633574" w:rsidTr="00F25598">
        <w:trPr>
          <w:trHeight w:val="255"/>
        </w:trPr>
        <w:tc>
          <w:tcPr>
            <w:tcW w:w="1284" w:type="dxa"/>
            <w:vMerge/>
            <w:vAlign w:val="center"/>
          </w:tcPr>
          <w:p w:rsidR="00AE5F9C" w:rsidRPr="00633574" w:rsidRDefault="00AE5F9C" w:rsidP="00F25598">
            <w:pPr>
              <w:spacing w:before="0" w:line="240" w:lineRule="auto"/>
              <w:jc w:val="center"/>
              <w:rPr>
                <w:sz w:val="20"/>
                <w:szCs w:val="20"/>
                <w:lang w:val="en-US"/>
              </w:rPr>
            </w:pPr>
          </w:p>
        </w:tc>
        <w:tc>
          <w:tcPr>
            <w:tcW w:w="227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Expert thresholds</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145</w:t>
            </w:r>
          </w:p>
        </w:tc>
        <w:tc>
          <w:tcPr>
            <w:tcW w:w="516"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18</w:t>
            </w:r>
          </w:p>
        </w:tc>
        <w:tc>
          <w:tcPr>
            <w:tcW w:w="118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121</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15</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121</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15</w:t>
            </w:r>
          </w:p>
        </w:tc>
      </w:tr>
      <w:tr w:rsidR="00AE5F9C" w:rsidRPr="00633574" w:rsidTr="00F25598">
        <w:trPr>
          <w:trHeight w:val="255"/>
        </w:trPr>
        <w:tc>
          <w:tcPr>
            <w:tcW w:w="1284" w:type="dxa"/>
            <w:vMerge/>
            <w:vAlign w:val="center"/>
          </w:tcPr>
          <w:p w:rsidR="00AE5F9C" w:rsidRPr="00633574" w:rsidRDefault="00AE5F9C" w:rsidP="00F25598">
            <w:pPr>
              <w:spacing w:before="0" w:line="240" w:lineRule="auto"/>
              <w:jc w:val="center"/>
              <w:rPr>
                <w:sz w:val="20"/>
                <w:szCs w:val="20"/>
                <w:lang w:val="en-US"/>
              </w:rPr>
            </w:pPr>
          </w:p>
        </w:tc>
        <w:tc>
          <w:tcPr>
            <w:tcW w:w="227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Emissions Scenarios (B1-A1B-A2)</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w:t>
            </w:r>
          </w:p>
        </w:tc>
        <w:tc>
          <w:tcPr>
            <w:tcW w:w="516"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2</w:t>
            </w:r>
          </w:p>
        </w:tc>
        <w:tc>
          <w:tcPr>
            <w:tcW w:w="118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121</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15</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69</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9</w:t>
            </w:r>
          </w:p>
        </w:tc>
      </w:tr>
      <w:tr w:rsidR="00AE5F9C" w:rsidRPr="00633574" w:rsidTr="00F25598">
        <w:trPr>
          <w:trHeight w:val="270"/>
        </w:trPr>
        <w:tc>
          <w:tcPr>
            <w:tcW w:w="1284" w:type="dxa"/>
            <w:vMerge/>
            <w:vAlign w:val="center"/>
          </w:tcPr>
          <w:p w:rsidR="00AE5F9C" w:rsidRPr="00633574" w:rsidRDefault="00AE5F9C" w:rsidP="00F25598">
            <w:pPr>
              <w:spacing w:before="0" w:line="240" w:lineRule="auto"/>
              <w:jc w:val="center"/>
              <w:rPr>
                <w:sz w:val="20"/>
                <w:szCs w:val="20"/>
                <w:lang w:val="en-US"/>
              </w:rPr>
            </w:pPr>
          </w:p>
        </w:tc>
        <w:tc>
          <w:tcPr>
            <w:tcW w:w="2275" w:type="dxa"/>
            <w:noWrap/>
            <w:vAlign w:val="center"/>
          </w:tcPr>
          <w:p w:rsidR="00AE5F9C" w:rsidRDefault="00AE5F9C" w:rsidP="00F25598">
            <w:pPr>
              <w:spacing w:before="0" w:line="240" w:lineRule="auto"/>
              <w:jc w:val="center"/>
              <w:rPr>
                <w:sz w:val="20"/>
                <w:szCs w:val="20"/>
                <w:lang w:val="en-US"/>
              </w:rPr>
            </w:pPr>
            <w:r w:rsidRPr="00633574">
              <w:rPr>
                <w:sz w:val="20"/>
                <w:szCs w:val="20"/>
                <w:lang w:val="en-US"/>
              </w:rPr>
              <w:t>Time frames</w:t>
            </w:r>
          </w:p>
          <w:p w:rsidR="00AE5F9C" w:rsidRPr="00633574" w:rsidRDefault="00AE5F9C" w:rsidP="00F25598">
            <w:pPr>
              <w:spacing w:before="0" w:line="240" w:lineRule="auto"/>
              <w:jc w:val="center"/>
              <w:rPr>
                <w:sz w:val="20"/>
                <w:szCs w:val="20"/>
                <w:lang w:val="en-US"/>
              </w:rPr>
            </w:pPr>
            <w:r w:rsidRPr="00633574">
              <w:rPr>
                <w:sz w:val="20"/>
                <w:szCs w:val="20"/>
                <w:lang w:val="en-US"/>
              </w:rPr>
              <w:t>(2090-2050)</w:t>
            </w:r>
          </w:p>
        </w:tc>
        <w:tc>
          <w:tcPr>
            <w:tcW w:w="1276"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341</w:t>
            </w:r>
          </w:p>
        </w:tc>
        <w:tc>
          <w:tcPr>
            <w:tcW w:w="516"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43</w:t>
            </w:r>
          </w:p>
        </w:tc>
        <w:tc>
          <w:tcPr>
            <w:tcW w:w="1185" w:type="dxa"/>
            <w:noWrap/>
            <w:vAlign w:val="center"/>
          </w:tcPr>
          <w:p w:rsidR="00AE5F9C" w:rsidRPr="00633574" w:rsidRDefault="00AE5F9C" w:rsidP="00F25598">
            <w:pPr>
              <w:spacing w:before="0" w:line="240" w:lineRule="auto"/>
              <w:jc w:val="center"/>
              <w:rPr>
                <w:sz w:val="20"/>
                <w:szCs w:val="20"/>
                <w:lang w:val="en-US"/>
              </w:rPr>
            </w:pPr>
            <w:r w:rsidRPr="00633574">
              <w:rPr>
                <w:sz w:val="20"/>
                <w:szCs w:val="20"/>
                <w:lang w:val="en-US"/>
              </w:rPr>
              <w:t>121</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15</w:t>
            </w:r>
          </w:p>
        </w:tc>
        <w:tc>
          <w:tcPr>
            <w:tcW w:w="1276" w:type="dxa"/>
            <w:noWrap/>
            <w:vAlign w:val="center"/>
          </w:tcPr>
          <w:p w:rsidR="00AE5F9C" w:rsidRPr="00633574" w:rsidRDefault="00AE5F9C" w:rsidP="00F25598">
            <w:pPr>
              <w:spacing w:before="0" w:line="240" w:lineRule="auto"/>
              <w:jc w:val="center"/>
              <w:rPr>
                <w:sz w:val="20"/>
                <w:szCs w:val="20"/>
                <w:lang w:val="en-US"/>
              </w:rPr>
            </w:pPr>
            <w:r>
              <w:rPr>
                <w:sz w:val="20"/>
                <w:szCs w:val="20"/>
                <w:lang w:val="en-US"/>
              </w:rPr>
              <w:t>-</w:t>
            </w:r>
          </w:p>
        </w:tc>
        <w:tc>
          <w:tcPr>
            <w:tcW w:w="567" w:type="dxa"/>
            <w:noWrap/>
            <w:vAlign w:val="center"/>
          </w:tcPr>
          <w:p w:rsidR="00AE5F9C" w:rsidRPr="00B4407A" w:rsidRDefault="00AE5F9C" w:rsidP="00F25598">
            <w:pPr>
              <w:spacing w:before="0" w:line="240" w:lineRule="auto"/>
              <w:jc w:val="center"/>
              <w:rPr>
                <w:b/>
                <w:i/>
                <w:sz w:val="20"/>
                <w:szCs w:val="20"/>
                <w:lang w:val="en-US"/>
              </w:rPr>
            </w:pPr>
            <w:r w:rsidRPr="00B4407A">
              <w:rPr>
                <w:b/>
                <w:i/>
                <w:sz w:val="20"/>
                <w:szCs w:val="20"/>
                <w:lang w:val="en-US"/>
              </w:rPr>
              <w:t>-</w:t>
            </w:r>
          </w:p>
        </w:tc>
      </w:tr>
    </w:tbl>
    <w:p w:rsidR="00AE5F9C" w:rsidRDefault="00AE5F9C" w:rsidP="00AE5F9C">
      <w:pPr>
        <w:rPr>
          <w:rFonts w:ascii="Cambria" w:hAnsi="Cambria"/>
          <w:b/>
          <w:bCs/>
          <w:color w:val="365F91"/>
          <w:sz w:val="28"/>
          <w:szCs w:val="28"/>
          <w:lang w:eastAsia="en-GB"/>
        </w:rPr>
      </w:pPr>
    </w:p>
    <w:p w:rsidR="000E7D76" w:rsidRDefault="000E7D76">
      <w:bookmarkStart w:id="0" w:name="_GoBack"/>
      <w:bookmarkEnd w:id="0"/>
    </w:p>
    <w:sectPr w:rsidR="000E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9C"/>
    <w:rsid w:val="000E7D76"/>
    <w:rsid w:val="00AE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C"/>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AE5F9C"/>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E5F9C"/>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C"/>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AE5F9C"/>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E5F9C"/>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1</cp:revision>
  <dcterms:created xsi:type="dcterms:W3CDTF">2013-05-14T14:49:00Z</dcterms:created>
  <dcterms:modified xsi:type="dcterms:W3CDTF">2013-05-14T14:49:00Z</dcterms:modified>
</cp:coreProperties>
</file>