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4F" w:rsidRDefault="00C86F4F" w:rsidP="00C86F4F">
      <w:pPr>
        <w:pStyle w:val="Heading3"/>
        <w:spacing w:line="240" w:lineRule="auto"/>
        <w:rPr>
          <w:rFonts w:ascii="Times New Roman" w:hAnsi="Times New Roman"/>
          <w:b w:val="0"/>
          <w:bCs/>
          <w:color w:val="auto"/>
          <w:sz w:val="22"/>
          <w:szCs w:val="22"/>
          <w:lang w:val="en-GB"/>
        </w:rPr>
      </w:pPr>
      <w:bookmarkStart w:id="0" w:name="_Toc352967037"/>
      <w:r w:rsidRPr="00D47A19">
        <w:rPr>
          <w:rFonts w:ascii="Times New Roman" w:hAnsi="Times New Roman"/>
          <w:bCs/>
          <w:color w:val="auto"/>
          <w:sz w:val="22"/>
          <w:szCs w:val="22"/>
          <w:lang w:val="en-GB"/>
        </w:rPr>
        <w:t>Table S13:  Summary of the numbers of species and size of geographic area uniquely identified by each of the biological traits used to assess overall climate change vulne</w:t>
      </w:r>
      <w:bookmarkStart w:id="1" w:name="_GoBack"/>
      <w:bookmarkEnd w:id="1"/>
      <w:r w:rsidRPr="00D47A19">
        <w:rPr>
          <w:rFonts w:ascii="Times New Roman" w:hAnsi="Times New Roman"/>
          <w:bCs/>
          <w:color w:val="auto"/>
          <w:sz w:val="22"/>
          <w:szCs w:val="22"/>
          <w:lang w:val="en-GB"/>
        </w:rPr>
        <w:t xml:space="preserve">rability of </w:t>
      </w:r>
      <w:r w:rsidRPr="00D47A19">
        <w:rPr>
          <w:rFonts w:ascii="Times New Roman" w:hAnsi="Times New Roman"/>
          <w:bCs/>
          <w:color w:val="auto"/>
          <w:sz w:val="22"/>
          <w:szCs w:val="22"/>
          <w:u w:val="single"/>
          <w:lang w:val="en-GB"/>
        </w:rPr>
        <w:t>birds</w:t>
      </w:r>
      <w:r w:rsidRPr="00D47A19">
        <w:rPr>
          <w:rFonts w:ascii="Times New Roman" w:hAnsi="Times New Roman"/>
          <w:b w:val="0"/>
          <w:bCs/>
          <w:color w:val="auto"/>
          <w:sz w:val="22"/>
          <w:szCs w:val="22"/>
          <w:lang w:val="en-GB"/>
        </w:rPr>
        <w:t xml:space="preserve">. Traits highlighted in yellow identify the five most influential traits for uniquely identifying numbers of species and those in red text identify these traits for geographic areas. Trait and trait group descriptions are shortened versions; full titles are shown in </w:t>
      </w:r>
      <w:r>
        <w:rPr>
          <w:rFonts w:ascii="Times New Roman" w:hAnsi="Times New Roman"/>
          <w:b w:val="0"/>
          <w:bCs/>
          <w:color w:val="auto"/>
          <w:sz w:val="22"/>
          <w:szCs w:val="22"/>
          <w:lang w:val="en-GB"/>
        </w:rPr>
        <w:t>Table</w:t>
      </w:r>
      <w:r w:rsidRPr="00D47A19">
        <w:rPr>
          <w:rFonts w:ascii="Times New Roman" w:hAnsi="Times New Roman"/>
          <w:b w:val="0"/>
          <w:bCs/>
          <w:color w:val="auto"/>
          <w:sz w:val="22"/>
          <w:szCs w:val="22"/>
          <w:lang w:val="en-GB"/>
        </w:rPr>
        <w:t xml:space="preserve"> </w:t>
      </w:r>
      <w:r>
        <w:rPr>
          <w:rFonts w:ascii="Times New Roman" w:hAnsi="Times New Roman"/>
          <w:b w:val="0"/>
          <w:bCs/>
          <w:color w:val="auto"/>
          <w:sz w:val="22"/>
          <w:szCs w:val="22"/>
          <w:lang w:val="en-GB"/>
        </w:rPr>
        <w:t>S</w:t>
      </w:r>
      <w:r w:rsidRPr="00D47A19">
        <w:rPr>
          <w:rFonts w:ascii="Times New Roman" w:hAnsi="Times New Roman"/>
          <w:b w:val="0"/>
          <w:bCs/>
          <w:color w:val="auto"/>
          <w:sz w:val="22"/>
          <w:szCs w:val="22"/>
          <w:lang w:val="en-GB"/>
        </w:rPr>
        <w:t>1.</w:t>
      </w:r>
      <w:bookmarkEnd w:id="0"/>
    </w:p>
    <w:p w:rsidR="00C86F4F" w:rsidRPr="00C86F4F" w:rsidRDefault="00C86F4F" w:rsidP="00C86F4F">
      <w:pPr>
        <w:rPr>
          <w:lang w:eastAsia="x-none"/>
        </w:rPr>
      </w:pPr>
    </w:p>
    <w:tbl>
      <w:tblPr>
        <w:tblW w:w="14180" w:type="dxa"/>
        <w:tblCellMar>
          <w:left w:w="0" w:type="dxa"/>
          <w:right w:w="0" w:type="dxa"/>
        </w:tblCellMar>
        <w:tblLook w:val="04A0" w:firstRow="1" w:lastRow="0" w:firstColumn="1" w:lastColumn="0" w:noHBand="0" w:noVBand="1"/>
      </w:tblPr>
      <w:tblGrid>
        <w:gridCol w:w="1220"/>
        <w:gridCol w:w="2020"/>
        <w:gridCol w:w="2580"/>
        <w:gridCol w:w="1000"/>
        <w:gridCol w:w="1160"/>
        <w:gridCol w:w="980"/>
        <w:gridCol w:w="960"/>
        <w:gridCol w:w="1280"/>
        <w:gridCol w:w="960"/>
        <w:gridCol w:w="1000"/>
        <w:gridCol w:w="1020"/>
      </w:tblGrid>
      <w:tr w:rsidR="00C86F4F" w:rsidRPr="00C1591A" w:rsidTr="00F25598">
        <w:trPr>
          <w:trHeight w:val="1451"/>
        </w:trPr>
        <w:tc>
          <w:tcPr>
            <w:tcW w:w="12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jc w:val="center"/>
              <w:rPr>
                <w:b/>
                <w:bCs/>
                <w:color w:val="000000"/>
                <w:sz w:val="20"/>
                <w:szCs w:val="20"/>
              </w:rPr>
            </w:pPr>
            <w:proofErr w:type="spellStart"/>
            <w:r>
              <w:rPr>
                <w:b/>
                <w:bCs/>
                <w:color w:val="000000"/>
                <w:sz w:val="20"/>
                <w:szCs w:val="20"/>
              </w:rPr>
              <w:t>Vulner</w:t>
            </w:r>
            <w:proofErr w:type="spellEnd"/>
            <w:r>
              <w:rPr>
                <w:b/>
                <w:bCs/>
                <w:color w:val="000000"/>
                <w:sz w:val="20"/>
                <w:szCs w:val="20"/>
              </w:rPr>
              <w:t>-ability</w:t>
            </w:r>
            <w:r w:rsidRPr="00FB2255">
              <w:rPr>
                <w:b/>
                <w:bCs/>
                <w:color w:val="000000"/>
                <w:sz w:val="20"/>
                <w:szCs w:val="20"/>
              </w:rPr>
              <w:t xml:space="preserve"> dimension</w:t>
            </w:r>
          </w:p>
        </w:tc>
        <w:tc>
          <w:tcPr>
            <w:tcW w:w="2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jc w:val="center"/>
              <w:rPr>
                <w:b/>
                <w:bCs/>
                <w:color w:val="000000"/>
                <w:sz w:val="20"/>
                <w:szCs w:val="20"/>
              </w:rPr>
            </w:pPr>
            <w:r w:rsidRPr="00FB2255">
              <w:rPr>
                <w:b/>
                <w:bCs/>
                <w:color w:val="000000"/>
                <w:sz w:val="20"/>
                <w:szCs w:val="20"/>
              </w:rPr>
              <w:t>Trait Group</w:t>
            </w:r>
          </w:p>
        </w:tc>
        <w:tc>
          <w:tcPr>
            <w:tcW w:w="2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jc w:val="center"/>
              <w:rPr>
                <w:b/>
                <w:bCs/>
                <w:color w:val="000000"/>
                <w:sz w:val="20"/>
                <w:szCs w:val="20"/>
              </w:rPr>
            </w:pPr>
            <w:r w:rsidRPr="00FB2255">
              <w:rPr>
                <w:b/>
                <w:bCs/>
                <w:color w:val="000000"/>
                <w:sz w:val="20"/>
                <w:szCs w:val="20"/>
              </w:rPr>
              <w:t>Trait</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sz w:val="20"/>
                <w:szCs w:val="20"/>
              </w:rPr>
            </w:pPr>
            <w:r w:rsidRPr="00FB2255">
              <w:rPr>
                <w:sz w:val="20"/>
                <w:szCs w:val="20"/>
              </w:rPr>
              <w:t>Species qualifying under this trait</w:t>
            </w:r>
          </w:p>
        </w:tc>
        <w:tc>
          <w:tcPr>
            <w:tcW w:w="1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sz w:val="20"/>
                <w:szCs w:val="20"/>
              </w:rPr>
            </w:pPr>
            <w:r w:rsidRPr="00FB2255">
              <w:rPr>
                <w:sz w:val="20"/>
                <w:szCs w:val="20"/>
              </w:rPr>
              <w:t>Species qualifying exclusively based on this trait</w:t>
            </w:r>
          </w:p>
        </w:tc>
        <w:tc>
          <w:tcPr>
            <w:tcW w:w="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sz w:val="20"/>
                <w:szCs w:val="20"/>
              </w:rPr>
            </w:pPr>
            <w:r w:rsidRPr="00FB2255">
              <w:rPr>
                <w:sz w:val="20"/>
                <w:szCs w:val="20"/>
              </w:rPr>
              <w:t xml:space="preserve">% of total </w:t>
            </w:r>
            <w:proofErr w:type="spellStart"/>
            <w:r w:rsidRPr="00FB2255">
              <w:rPr>
                <w:sz w:val="20"/>
                <w:szCs w:val="20"/>
              </w:rPr>
              <w:t>suscept-ible</w:t>
            </w:r>
            <w:proofErr w:type="spellEnd"/>
            <w:r w:rsidRPr="00FB2255">
              <w:rPr>
                <w:sz w:val="20"/>
                <w:szCs w:val="20"/>
              </w:rPr>
              <w:t xml:space="preserve"> species </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b/>
                <w:bCs/>
                <w:sz w:val="20"/>
                <w:szCs w:val="20"/>
              </w:rPr>
            </w:pPr>
            <w:r w:rsidRPr="00FB2255">
              <w:rPr>
                <w:b/>
                <w:bCs/>
                <w:sz w:val="20"/>
                <w:szCs w:val="20"/>
              </w:rPr>
              <w:t>Rank of import-</w:t>
            </w:r>
            <w:proofErr w:type="spellStart"/>
            <w:r w:rsidRPr="00FB2255">
              <w:rPr>
                <w:b/>
                <w:bCs/>
                <w:sz w:val="20"/>
                <w:szCs w:val="20"/>
              </w:rPr>
              <w:t>ance</w:t>
            </w:r>
            <w:proofErr w:type="spellEnd"/>
            <w:r w:rsidRPr="00FB2255">
              <w:rPr>
                <w:b/>
                <w:bCs/>
                <w:sz w:val="20"/>
                <w:szCs w:val="20"/>
              </w:rPr>
              <w:t xml:space="preserve"> by species</w:t>
            </w:r>
          </w:p>
        </w:tc>
        <w:tc>
          <w:tcPr>
            <w:tcW w:w="12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sz w:val="20"/>
                <w:szCs w:val="20"/>
              </w:rPr>
            </w:pPr>
            <w:r w:rsidRPr="00FB2255">
              <w:rPr>
                <w:sz w:val="20"/>
                <w:szCs w:val="20"/>
              </w:rPr>
              <w:t>Geographic area (</w:t>
            </w:r>
            <w:r w:rsidRPr="00F95CE4">
              <w:rPr>
                <w:sz w:val="20"/>
                <w:szCs w:val="20"/>
                <w:lang w:eastAsia="en-GB"/>
              </w:rPr>
              <w:t>km</w:t>
            </w:r>
            <w:r w:rsidRPr="00265BC4">
              <w:rPr>
                <w:sz w:val="20"/>
                <w:szCs w:val="20"/>
                <w:vertAlign w:val="superscript"/>
                <w:lang w:eastAsia="en-GB"/>
              </w:rPr>
              <w:t>2</w:t>
            </w:r>
            <w:r w:rsidRPr="00FB2255">
              <w:rPr>
                <w:sz w:val="20"/>
                <w:szCs w:val="20"/>
              </w:rPr>
              <w:t>) identified exclusively by this trait</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sz w:val="20"/>
                <w:szCs w:val="20"/>
              </w:rPr>
            </w:pPr>
            <w:r w:rsidRPr="00FB2255">
              <w:rPr>
                <w:sz w:val="20"/>
                <w:szCs w:val="20"/>
              </w:rPr>
              <w:t xml:space="preserve">% of total </w:t>
            </w:r>
            <w:proofErr w:type="spellStart"/>
            <w:r w:rsidRPr="00FB2255">
              <w:rPr>
                <w:sz w:val="20"/>
                <w:szCs w:val="20"/>
              </w:rPr>
              <w:t>suscept-ible</w:t>
            </w:r>
            <w:proofErr w:type="spellEnd"/>
            <w:r w:rsidRPr="00FB2255">
              <w:rPr>
                <w:sz w:val="20"/>
                <w:szCs w:val="20"/>
              </w:rPr>
              <w:t xml:space="preserve"> area</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b/>
                <w:bCs/>
                <w:sz w:val="20"/>
                <w:szCs w:val="20"/>
              </w:rPr>
            </w:pPr>
            <w:r w:rsidRPr="00FB2255">
              <w:rPr>
                <w:b/>
                <w:bCs/>
                <w:sz w:val="20"/>
                <w:szCs w:val="20"/>
              </w:rPr>
              <w:t>Rank of import-</w:t>
            </w:r>
            <w:proofErr w:type="spellStart"/>
            <w:r w:rsidRPr="00FB2255">
              <w:rPr>
                <w:b/>
                <w:bCs/>
                <w:sz w:val="20"/>
                <w:szCs w:val="20"/>
              </w:rPr>
              <w:t>ance</w:t>
            </w:r>
            <w:proofErr w:type="spellEnd"/>
            <w:r w:rsidRPr="00FB2255">
              <w:rPr>
                <w:b/>
                <w:bCs/>
                <w:sz w:val="20"/>
                <w:szCs w:val="20"/>
              </w:rPr>
              <w:t xml:space="preserve"> by area</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jc w:val="center"/>
              <w:rPr>
                <w:sz w:val="20"/>
                <w:szCs w:val="20"/>
              </w:rPr>
            </w:pPr>
            <w:r w:rsidRPr="00FB2255">
              <w:rPr>
                <w:sz w:val="20"/>
                <w:szCs w:val="20"/>
              </w:rPr>
              <w:t>Species with unknown score for this trait</w:t>
            </w:r>
          </w:p>
        </w:tc>
      </w:tr>
      <w:tr w:rsidR="00C86F4F" w:rsidRPr="00C1591A" w:rsidTr="00F25598">
        <w:trPr>
          <w:trHeight w:val="134"/>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rsidR="00C86F4F" w:rsidRDefault="00C86F4F" w:rsidP="00F25598">
            <w:pPr>
              <w:spacing w:before="0" w:line="240" w:lineRule="auto"/>
              <w:jc w:val="center"/>
              <w:rPr>
                <w:b/>
                <w:bCs/>
                <w:color w:val="000000"/>
                <w:sz w:val="20"/>
                <w:szCs w:val="20"/>
              </w:rPr>
            </w:pPr>
            <w:r w:rsidRPr="00FB2255">
              <w:rPr>
                <w:b/>
                <w:bCs/>
                <w:color w:val="000000"/>
                <w:sz w:val="20"/>
                <w:szCs w:val="20"/>
              </w:rPr>
              <w:t>Sensitivity</w:t>
            </w:r>
          </w:p>
        </w:tc>
        <w:tc>
          <w:tcPr>
            <w:tcW w:w="20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rPr>
                <w:sz w:val="20"/>
                <w:szCs w:val="20"/>
              </w:rPr>
            </w:pPr>
            <w:r w:rsidRPr="00C1591A">
              <w:rPr>
                <w:sz w:val="20"/>
                <w:szCs w:val="20"/>
              </w:rPr>
              <w:t>Specialised habitat and/or microhabitat requirements</w:t>
            </w: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sidRPr="00C1591A">
              <w:rPr>
                <w:sz w:val="20"/>
                <w:szCs w:val="20"/>
              </w:rPr>
              <w:t>Habitat specialist</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1,530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000000"/>
                <w:sz w:val="20"/>
                <w:szCs w:val="20"/>
              </w:rPr>
            </w:pPr>
            <w:r w:rsidRPr="00FB2255">
              <w:rPr>
                <w:color w:val="000000"/>
                <w:sz w:val="20"/>
                <w:szCs w:val="20"/>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93,964,466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20</w:t>
            </w:r>
          </w:p>
        </w:tc>
      </w:tr>
      <w:tr w:rsidR="00C86F4F" w:rsidRPr="00C1591A" w:rsidTr="00F25598">
        <w:trPr>
          <w:trHeight w:val="65"/>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Pr>
                <w:sz w:val="20"/>
                <w:szCs w:val="20"/>
              </w:rPr>
              <w:t>Microhabitat required</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Pr>
                <w:sz w:val="20"/>
                <w:szCs w:val="20"/>
              </w:rPr>
              <w:t>1,001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000000"/>
                <w:sz w:val="20"/>
                <w:szCs w:val="20"/>
              </w:rPr>
            </w:pPr>
            <w:r w:rsidRPr="00FB2255">
              <w:rPr>
                <w:color w:val="000000"/>
                <w:sz w:val="20"/>
                <w:szCs w:val="20"/>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94,788,888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0</w:t>
            </w:r>
          </w:p>
        </w:tc>
      </w:tr>
      <w:tr w:rsidR="00C86F4F" w:rsidRPr="00C1591A" w:rsidTr="00F25598">
        <w:trPr>
          <w:trHeight w:val="65"/>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Pr>
                <w:sz w:val="20"/>
                <w:szCs w:val="20"/>
              </w:rPr>
              <w:t>Intolerance of disturbance</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Pr>
                <w:sz w:val="20"/>
                <w:szCs w:val="20"/>
              </w:rPr>
              <w:t>2,575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93,964,812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4</w:t>
            </w:r>
          </w:p>
        </w:tc>
      </w:tr>
      <w:tr w:rsidR="00C86F4F" w:rsidRPr="00C1591A" w:rsidTr="00F25598">
        <w:trPr>
          <w:trHeight w:val="244"/>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20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rPr>
                <w:sz w:val="20"/>
                <w:szCs w:val="20"/>
              </w:rPr>
            </w:pPr>
            <w:r w:rsidRPr="00C1591A">
              <w:rPr>
                <w:sz w:val="20"/>
                <w:szCs w:val="20"/>
              </w:rPr>
              <w:t>Narrow environmental tolerances</w:t>
            </w: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color w:val="FF0000"/>
                <w:sz w:val="20"/>
                <w:szCs w:val="20"/>
              </w:rPr>
            </w:pPr>
            <w:r w:rsidRPr="00C1591A">
              <w:rPr>
                <w:color w:val="FF0000"/>
                <w:sz w:val="20"/>
                <w:szCs w:val="20"/>
              </w:rPr>
              <w:t>Narrow temperature tolerance</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C1591A">
              <w:rPr>
                <w:color w:val="FF0000"/>
                <w:sz w:val="20"/>
                <w:szCs w:val="20"/>
              </w:rPr>
              <w:t>1,974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127,174,896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23.9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C1591A">
              <w:rPr>
                <w:color w:val="FF0000"/>
                <w:sz w:val="20"/>
                <w:szCs w:val="20"/>
              </w:rPr>
              <w:t>1,764</w:t>
            </w:r>
          </w:p>
        </w:tc>
      </w:tr>
      <w:tr w:rsidR="00C86F4F" w:rsidRPr="00C1591A" w:rsidTr="00F25598">
        <w:trPr>
          <w:trHeight w:val="84"/>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Pr>
                <w:sz w:val="20"/>
                <w:szCs w:val="20"/>
              </w:rPr>
              <w:t>Narrow precipitation tolerance</w:t>
            </w:r>
          </w:p>
        </w:tc>
        <w:tc>
          <w:tcPr>
            <w:tcW w:w="1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Pr>
                <w:sz w:val="20"/>
                <w:szCs w:val="20"/>
              </w:rPr>
              <w:t>2,095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93,963,082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1,764</w:t>
            </w:r>
          </w:p>
        </w:tc>
      </w:tr>
      <w:tr w:rsidR="00C86F4F" w:rsidRPr="00C1591A" w:rsidTr="00F25598">
        <w:trPr>
          <w:trHeight w:val="288"/>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rPr>
                <w:sz w:val="20"/>
                <w:szCs w:val="20"/>
              </w:rPr>
            </w:pPr>
            <w:r w:rsidRPr="00C1591A">
              <w:rPr>
                <w:sz w:val="20"/>
                <w:szCs w:val="20"/>
              </w:rPr>
              <w:t xml:space="preserve">Interspecific interactions </w:t>
            </w: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color w:val="FF0000"/>
                <w:sz w:val="20"/>
                <w:szCs w:val="20"/>
              </w:rPr>
            </w:pPr>
            <w:r w:rsidRPr="00C1591A">
              <w:rPr>
                <w:color w:val="FF0000"/>
                <w:sz w:val="20"/>
                <w:szCs w:val="20"/>
              </w:rPr>
              <w:t>Declining positive interactions with other species</w:t>
            </w:r>
          </w:p>
        </w:tc>
        <w:tc>
          <w:tcPr>
            <w:tcW w:w="10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49176B">
              <w:rPr>
                <w:color w:val="FF0000"/>
                <w:sz w:val="20"/>
                <w:szCs w:val="20"/>
              </w:rPr>
              <w:t>89</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14</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108,493,748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C1591A">
              <w:rPr>
                <w:color w:val="FF0000"/>
                <w:sz w:val="20"/>
                <w:szCs w:val="20"/>
              </w:rPr>
              <w:t>0</w:t>
            </w:r>
          </w:p>
        </w:tc>
      </w:tr>
      <w:tr w:rsidR="00C86F4F" w:rsidRPr="00C1591A" w:rsidTr="00F25598">
        <w:trPr>
          <w:trHeight w:val="105"/>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20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rPr>
                <w:sz w:val="20"/>
                <w:szCs w:val="20"/>
              </w:rPr>
            </w:pPr>
            <w:r w:rsidRPr="00C1591A">
              <w:rPr>
                <w:sz w:val="20"/>
                <w:szCs w:val="20"/>
              </w:rPr>
              <w:t>Rarity</w:t>
            </w: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sidRPr="00C1591A">
              <w:rPr>
                <w:sz w:val="20"/>
                <w:szCs w:val="20"/>
              </w:rPr>
              <w:t xml:space="preserve">Small population size </w:t>
            </w:r>
          </w:p>
        </w:tc>
        <w:tc>
          <w:tcPr>
            <w:tcW w:w="10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C86F4F" w:rsidRDefault="00C86F4F" w:rsidP="00F25598">
            <w:pPr>
              <w:spacing w:before="0" w:line="240" w:lineRule="auto"/>
              <w:jc w:val="right"/>
              <w:rPr>
                <w:sz w:val="20"/>
                <w:szCs w:val="20"/>
              </w:rPr>
            </w:pPr>
            <w:r w:rsidRPr="0049176B">
              <w:rPr>
                <w:sz w:val="20"/>
                <w:szCs w:val="20"/>
              </w:rPr>
              <w:t>1,084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93,963,082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9</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6,453</w:t>
            </w:r>
          </w:p>
        </w:tc>
      </w:tr>
      <w:tr w:rsidR="00C86F4F" w:rsidRPr="00C1591A" w:rsidTr="00F25598">
        <w:trPr>
          <w:trHeight w:val="80"/>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Pr>
                <w:sz w:val="20"/>
                <w:szCs w:val="20"/>
              </w:rPr>
              <w:t>Small effective population size</w:t>
            </w:r>
          </w:p>
        </w:tc>
        <w:tc>
          <w:tcPr>
            <w:tcW w:w="10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C86F4F" w:rsidRDefault="00C86F4F" w:rsidP="00F25598">
            <w:pPr>
              <w:spacing w:before="0" w:line="240" w:lineRule="auto"/>
              <w:jc w:val="right"/>
              <w:rPr>
                <w:sz w:val="20"/>
                <w:szCs w:val="20"/>
              </w:rPr>
            </w:pPr>
            <w:r w:rsidRPr="0049176B">
              <w:rPr>
                <w:sz w:val="20"/>
                <w:szCs w:val="20"/>
              </w:rPr>
              <w:t>1,410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94,248,845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9</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6,453</w:t>
            </w:r>
          </w:p>
        </w:tc>
      </w:tr>
      <w:tr w:rsidR="00C86F4F" w:rsidRPr="00C1591A" w:rsidTr="00F25598">
        <w:trPr>
          <w:trHeight w:val="315"/>
        </w:trPr>
        <w:tc>
          <w:tcPr>
            <w:tcW w:w="122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C86F4F" w:rsidRDefault="00C86F4F" w:rsidP="00F25598">
            <w:pPr>
              <w:spacing w:before="0" w:line="240" w:lineRule="auto"/>
              <w:jc w:val="center"/>
              <w:rPr>
                <w:b/>
                <w:bCs/>
                <w:color w:val="000000"/>
                <w:sz w:val="20"/>
                <w:szCs w:val="20"/>
              </w:rPr>
            </w:pPr>
            <w:r w:rsidRPr="00FB2255">
              <w:rPr>
                <w:b/>
                <w:bCs/>
                <w:color w:val="000000"/>
                <w:sz w:val="20"/>
                <w:szCs w:val="20"/>
              </w:rPr>
              <w:t>Exposure</w:t>
            </w:r>
          </w:p>
        </w:tc>
        <w:tc>
          <w:tcPr>
            <w:tcW w:w="2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6F4F" w:rsidRPr="00C1591A" w:rsidRDefault="00C86F4F" w:rsidP="00F25598">
            <w:pPr>
              <w:spacing w:before="0" w:line="240" w:lineRule="auto"/>
              <w:rPr>
                <w:sz w:val="20"/>
                <w:szCs w:val="20"/>
              </w:rPr>
            </w:pPr>
            <w:r w:rsidRPr="00C1591A">
              <w:rPr>
                <w:sz w:val="20"/>
                <w:szCs w:val="20"/>
              </w:rPr>
              <w:t>Sea level rise</w:t>
            </w:r>
          </w:p>
        </w:tc>
        <w:tc>
          <w:tcPr>
            <w:tcW w:w="25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86F4F" w:rsidRPr="00C1591A" w:rsidRDefault="00C86F4F" w:rsidP="00F25598">
            <w:pPr>
              <w:spacing w:before="0" w:line="240" w:lineRule="auto"/>
              <w:rPr>
                <w:sz w:val="20"/>
                <w:szCs w:val="20"/>
              </w:rPr>
            </w:pPr>
            <w:r>
              <w:rPr>
                <w:sz w:val="20"/>
                <w:szCs w:val="20"/>
              </w:rPr>
              <w:t>Exposed</w:t>
            </w:r>
            <w:r w:rsidRPr="00C1591A">
              <w:rPr>
                <w:sz w:val="20"/>
                <w:szCs w:val="20"/>
              </w:rPr>
              <w:t xml:space="preserve"> to sea level rise</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86F4F" w:rsidRPr="0049176B" w:rsidRDefault="00C86F4F" w:rsidP="00F25598">
            <w:pPr>
              <w:spacing w:before="0" w:line="240" w:lineRule="auto"/>
              <w:jc w:val="right"/>
              <w:rPr>
                <w:sz w:val="20"/>
                <w:szCs w:val="20"/>
              </w:rPr>
            </w:pPr>
            <w:r w:rsidRPr="0049176B">
              <w:rPr>
                <w:sz w:val="20"/>
                <w:szCs w:val="20"/>
              </w:rPr>
              <w:t>163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20,768,671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11</w:t>
            </w:r>
          </w:p>
        </w:tc>
        <w:tc>
          <w:tcPr>
            <w:tcW w:w="10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86F4F" w:rsidRPr="00C1591A" w:rsidRDefault="00C86F4F" w:rsidP="00F25598">
            <w:pPr>
              <w:spacing w:before="0" w:line="240" w:lineRule="auto"/>
              <w:jc w:val="right"/>
              <w:rPr>
                <w:sz w:val="20"/>
                <w:szCs w:val="20"/>
              </w:rPr>
            </w:pPr>
            <w:r w:rsidRPr="00C1591A">
              <w:rPr>
                <w:sz w:val="20"/>
                <w:szCs w:val="20"/>
              </w:rPr>
              <w:t>20</w:t>
            </w:r>
          </w:p>
        </w:tc>
      </w:tr>
      <w:tr w:rsidR="00C86F4F" w:rsidRPr="00C1591A" w:rsidTr="00F25598">
        <w:trPr>
          <w:trHeight w:val="315"/>
        </w:trPr>
        <w:tc>
          <w:tcPr>
            <w:tcW w:w="1220" w:type="dxa"/>
            <w:vMerge/>
            <w:tcBorders>
              <w:left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C86F4F" w:rsidRDefault="00C86F4F" w:rsidP="00F25598">
            <w:pPr>
              <w:spacing w:before="0" w:line="240" w:lineRule="auto"/>
              <w:jc w:val="center"/>
              <w:rPr>
                <w:b/>
                <w:bCs/>
                <w:color w:val="000000"/>
                <w:sz w:val="20"/>
                <w:szCs w:val="20"/>
              </w:rPr>
            </w:pPr>
          </w:p>
        </w:tc>
        <w:tc>
          <w:tcPr>
            <w:tcW w:w="202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C86F4F" w:rsidRPr="00C1591A" w:rsidRDefault="00C86F4F" w:rsidP="00F25598">
            <w:pPr>
              <w:spacing w:before="0" w:line="240" w:lineRule="auto"/>
              <w:rPr>
                <w:sz w:val="20"/>
                <w:szCs w:val="20"/>
              </w:rPr>
            </w:pPr>
            <w:r w:rsidRPr="00C1591A">
              <w:rPr>
                <w:sz w:val="20"/>
                <w:szCs w:val="20"/>
              </w:rPr>
              <w:t>Changes in temperature</w:t>
            </w: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F4F" w:rsidRPr="00C1591A" w:rsidRDefault="00C86F4F" w:rsidP="00F25598">
            <w:pPr>
              <w:spacing w:before="0" w:line="240" w:lineRule="auto"/>
              <w:rPr>
                <w:sz w:val="20"/>
                <w:szCs w:val="20"/>
              </w:rPr>
            </w:pPr>
            <w:r w:rsidRPr="00C1591A">
              <w:rPr>
                <w:sz w:val="20"/>
                <w:szCs w:val="20"/>
              </w:rPr>
              <w:t xml:space="preserve">Changes in mean temperature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F4F" w:rsidRPr="0049176B" w:rsidRDefault="00C86F4F" w:rsidP="00F25598">
            <w:pPr>
              <w:spacing w:before="0" w:line="240" w:lineRule="auto"/>
              <w:jc w:val="right"/>
              <w:rPr>
                <w:sz w:val="20"/>
                <w:szCs w:val="20"/>
              </w:rPr>
            </w:pPr>
            <w:r w:rsidRPr="0049176B">
              <w:rPr>
                <w:sz w:val="20"/>
                <w:szCs w:val="20"/>
              </w:rPr>
              <w:t>1,921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101,564,515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7</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F4F" w:rsidRPr="00C1591A" w:rsidRDefault="00C86F4F" w:rsidP="00F25598">
            <w:pPr>
              <w:spacing w:before="0" w:line="240" w:lineRule="auto"/>
              <w:jc w:val="right"/>
              <w:rPr>
                <w:sz w:val="20"/>
                <w:szCs w:val="20"/>
              </w:rPr>
            </w:pPr>
            <w:r w:rsidRPr="00C1591A">
              <w:rPr>
                <w:sz w:val="20"/>
                <w:szCs w:val="20"/>
              </w:rPr>
              <w:t>1,869</w:t>
            </w:r>
          </w:p>
        </w:tc>
      </w:tr>
      <w:tr w:rsidR="00C86F4F" w:rsidRPr="00C1591A" w:rsidTr="00F25598">
        <w:trPr>
          <w:trHeight w:val="315"/>
        </w:trPr>
        <w:tc>
          <w:tcPr>
            <w:tcW w:w="1220" w:type="dxa"/>
            <w:vMerge/>
            <w:tcBorders>
              <w:left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C86F4F" w:rsidRDefault="00C86F4F" w:rsidP="00F25598">
            <w:pPr>
              <w:spacing w:before="0" w:line="240" w:lineRule="auto"/>
              <w:jc w:val="center"/>
              <w:rPr>
                <w:b/>
                <w:bCs/>
                <w:color w:val="000000"/>
                <w:sz w:val="20"/>
                <w:szCs w:val="20"/>
              </w:rPr>
            </w:pPr>
          </w:p>
        </w:tc>
        <w:tc>
          <w:tcPr>
            <w:tcW w:w="2020"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6F4F" w:rsidRPr="00C1591A"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F4F" w:rsidRPr="00C1591A" w:rsidRDefault="00C86F4F" w:rsidP="00F25598">
            <w:pPr>
              <w:spacing w:before="0" w:line="240" w:lineRule="auto"/>
              <w:rPr>
                <w:sz w:val="20"/>
                <w:szCs w:val="20"/>
              </w:rPr>
            </w:pPr>
            <w:r>
              <w:rPr>
                <w:color w:val="FF0000"/>
                <w:sz w:val="20"/>
                <w:szCs w:val="20"/>
              </w:rPr>
              <w:t>Changes in temperature variability</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86F4F" w:rsidRPr="0049176B" w:rsidRDefault="00C86F4F" w:rsidP="00F25598">
            <w:pPr>
              <w:spacing w:before="0" w:line="240" w:lineRule="auto"/>
              <w:jc w:val="right"/>
              <w:rPr>
                <w:sz w:val="20"/>
                <w:szCs w:val="20"/>
              </w:rPr>
            </w:pPr>
            <w:r w:rsidRPr="0049176B">
              <w:rPr>
                <w:color w:val="FF0000"/>
                <w:sz w:val="20"/>
                <w:szCs w:val="20"/>
              </w:rPr>
              <w:t>1,925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color w:val="FF0000"/>
                <w:sz w:val="20"/>
                <w:szCs w:val="20"/>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color w:val="FF0000"/>
                <w:sz w:val="20"/>
                <w:szCs w:val="20"/>
              </w:rPr>
              <w:t>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color w:val="FF0000"/>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color w:val="FF0000"/>
                <w:sz w:val="20"/>
                <w:szCs w:val="20"/>
              </w:rPr>
              <w:t>66,141,671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color w:val="FF0000"/>
                <w:sz w:val="20"/>
                <w:szCs w:val="20"/>
              </w:rPr>
              <w:t>12.4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color w:val="FF0000"/>
                <w:sz w:val="20"/>
                <w:szCs w:val="20"/>
              </w:rPr>
              <w:t>4</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86F4F" w:rsidRPr="00C1591A" w:rsidRDefault="00C86F4F" w:rsidP="00F25598">
            <w:pPr>
              <w:spacing w:before="0" w:line="240" w:lineRule="auto"/>
              <w:jc w:val="right"/>
              <w:rPr>
                <w:sz w:val="20"/>
                <w:szCs w:val="20"/>
              </w:rPr>
            </w:pPr>
            <w:r w:rsidRPr="00C1591A">
              <w:rPr>
                <w:color w:val="FF0000"/>
                <w:sz w:val="20"/>
                <w:szCs w:val="20"/>
              </w:rPr>
              <w:t>1,869</w:t>
            </w:r>
          </w:p>
        </w:tc>
      </w:tr>
      <w:tr w:rsidR="00C86F4F" w:rsidRPr="00C1591A" w:rsidTr="00F25598">
        <w:trPr>
          <w:trHeight w:val="315"/>
        </w:trPr>
        <w:tc>
          <w:tcPr>
            <w:tcW w:w="1220" w:type="dxa"/>
            <w:vMerge/>
            <w:tcBorders>
              <w:left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C86F4F" w:rsidRDefault="00C86F4F" w:rsidP="00F25598">
            <w:pPr>
              <w:spacing w:before="0" w:line="240" w:lineRule="auto"/>
              <w:jc w:val="center"/>
              <w:rPr>
                <w:b/>
                <w:bCs/>
                <w:color w:val="000000"/>
                <w:sz w:val="20"/>
                <w:szCs w:val="20"/>
              </w:rPr>
            </w:pPr>
          </w:p>
        </w:tc>
        <w:tc>
          <w:tcPr>
            <w:tcW w:w="2020"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C86F4F" w:rsidRPr="00C1591A" w:rsidRDefault="00C86F4F" w:rsidP="00F25598">
            <w:pPr>
              <w:spacing w:before="0" w:line="240" w:lineRule="auto"/>
              <w:rPr>
                <w:sz w:val="20"/>
                <w:szCs w:val="20"/>
              </w:rPr>
            </w:pPr>
            <w:r w:rsidRPr="00C1591A">
              <w:rPr>
                <w:sz w:val="20"/>
                <w:szCs w:val="20"/>
              </w:rPr>
              <w:t>Changes in precipitation</w:t>
            </w:r>
          </w:p>
        </w:tc>
        <w:tc>
          <w:tcPr>
            <w:tcW w:w="258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tcPr>
          <w:p w:rsidR="00C86F4F" w:rsidRPr="00C1591A" w:rsidRDefault="00C86F4F" w:rsidP="00F25598">
            <w:pPr>
              <w:spacing w:before="0" w:line="240" w:lineRule="auto"/>
              <w:rPr>
                <w:sz w:val="20"/>
                <w:szCs w:val="20"/>
              </w:rPr>
            </w:pPr>
            <w:r w:rsidRPr="00C1591A">
              <w:rPr>
                <w:sz w:val="20"/>
                <w:szCs w:val="20"/>
              </w:rPr>
              <w:t>Changes in mean precipitation</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86F4F" w:rsidRPr="0049176B" w:rsidRDefault="00C86F4F" w:rsidP="00F25598">
            <w:pPr>
              <w:spacing w:before="0" w:line="240" w:lineRule="auto"/>
              <w:jc w:val="right"/>
              <w:rPr>
                <w:sz w:val="20"/>
                <w:szCs w:val="20"/>
              </w:rPr>
            </w:pPr>
            <w:r w:rsidRPr="0049176B">
              <w:rPr>
                <w:sz w:val="20"/>
                <w:szCs w:val="20"/>
              </w:rPr>
              <w:t>1,998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337</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14.5</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3,051,713</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0.6</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12</w:t>
            </w:r>
          </w:p>
        </w:tc>
        <w:tc>
          <w:tcPr>
            <w:tcW w:w="102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tcPr>
          <w:p w:rsidR="00C86F4F" w:rsidRPr="00C1591A" w:rsidRDefault="00C86F4F" w:rsidP="00F25598">
            <w:pPr>
              <w:spacing w:before="0" w:line="240" w:lineRule="auto"/>
              <w:jc w:val="right"/>
              <w:rPr>
                <w:sz w:val="20"/>
                <w:szCs w:val="20"/>
              </w:rPr>
            </w:pPr>
            <w:r w:rsidRPr="00C1591A">
              <w:rPr>
                <w:sz w:val="20"/>
                <w:szCs w:val="20"/>
              </w:rPr>
              <w:t>1,869</w:t>
            </w:r>
          </w:p>
        </w:tc>
      </w:tr>
      <w:tr w:rsidR="00C86F4F" w:rsidRPr="00C1591A" w:rsidTr="00F25598">
        <w:trPr>
          <w:trHeight w:val="315"/>
        </w:trPr>
        <w:tc>
          <w:tcPr>
            <w:tcW w:w="1220"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C86F4F" w:rsidRDefault="00C86F4F" w:rsidP="00F25598">
            <w:pPr>
              <w:spacing w:before="0" w:line="240" w:lineRule="auto"/>
              <w:jc w:val="center"/>
              <w:rPr>
                <w:b/>
                <w:bCs/>
                <w:color w:val="000000"/>
                <w:sz w:val="20"/>
                <w:szCs w:val="20"/>
              </w:rPr>
            </w:pPr>
          </w:p>
        </w:tc>
        <w:tc>
          <w:tcPr>
            <w:tcW w:w="2020"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6F4F" w:rsidRPr="00C1591A" w:rsidRDefault="00C86F4F" w:rsidP="00F25598">
            <w:pPr>
              <w:spacing w:before="0" w:line="240" w:lineRule="auto"/>
              <w:rPr>
                <w:sz w:val="20"/>
                <w:szCs w:val="20"/>
              </w:rPr>
            </w:pPr>
          </w:p>
        </w:tc>
        <w:tc>
          <w:tcPr>
            <w:tcW w:w="258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tcPr>
          <w:p w:rsidR="00C86F4F" w:rsidRPr="00C1591A" w:rsidRDefault="00C86F4F" w:rsidP="00F25598">
            <w:pPr>
              <w:spacing w:before="0" w:line="240" w:lineRule="auto"/>
              <w:rPr>
                <w:sz w:val="20"/>
                <w:szCs w:val="20"/>
              </w:rPr>
            </w:pPr>
            <w:r>
              <w:rPr>
                <w:sz w:val="20"/>
                <w:szCs w:val="20"/>
              </w:rPr>
              <w:t>Changes in precipitation variability</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86F4F" w:rsidRPr="0049176B" w:rsidRDefault="00C86F4F" w:rsidP="00F25598">
            <w:pPr>
              <w:spacing w:before="0" w:line="240" w:lineRule="auto"/>
              <w:jc w:val="right"/>
              <w:rPr>
                <w:sz w:val="20"/>
                <w:szCs w:val="20"/>
              </w:rPr>
            </w:pPr>
            <w:r w:rsidRPr="0049176B">
              <w:rPr>
                <w:sz w:val="20"/>
                <w:szCs w:val="20"/>
              </w:rPr>
              <w:t>2,152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298</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12.8</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62,813,190</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sz w:val="20"/>
                <w:szCs w:val="20"/>
              </w:rPr>
            </w:pPr>
            <w:r w:rsidRPr="00FB2255">
              <w:rPr>
                <w:sz w:val="20"/>
                <w:szCs w:val="20"/>
              </w:rPr>
              <w:t>11.8</w:t>
            </w:r>
          </w:p>
        </w:tc>
        <w:tc>
          <w:tcPr>
            <w:tcW w:w="0" w:type="auto"/>
            <w:tcBorders>
              <w:top w:val="single" w:sz="4" w:space="0" w:color="auto"/>
              <w:left w:val="nil"/>
              <w:bottom w:val="single" w:sz="4" w:space="0" w:color="auto"/>
              <w:right w:val="single" w:sz="4" w:space="0" w:color="auto"/>
            </w:tcBorders>
            <w:shd w:val="clear" w:color="auto" w:fill="FFFF00"/>
            <w:noWrap/>
            <w:tcMar>
              <w:top w:w="15" w:type="dxa"/>
              <w:left w:w="15" w:type="dxa"/>
              <w:bottom w:w="0" w:type="dxa"/>
              <w:right w:w="15" w:type="dxa"/>
            </w:tcMar>
          </w:tcPr>
          <w:p w:rsidR="00C86F4F" w:rsidRPr="00FB2255" w:rsidRDefault="00C86F4F" w:rsidP="00F25598">
            <w:pPr>
              <w:spacing w:before="0" w:line="240" w:lineRule="auto"/>
              <w:jc w:val="right"/>
              <w:rPr>
                <w:b/>
                <w:bCs/>
                <w:sz w:val="20"/>
                <w:szCs w:val="20"/>
              </w:rPr>
            </w:pPr>
            <w:r w:rsidRPr="00FB2255">
              <w:rPr>
                <w:b/>
                <w:bCs/>
                <w:sz w:val="20"/>
                <w:szCs w:val="20"/>
              </w:rPr>
              <w:t>10</w:t>
            </w:r>
          </w:p>
        </w:tc>
        <w:tc>
          <w:tcPr>
            <w:tcW w:w="1020" w:type="dxa"/>
            <w:tcBorders>
              <w:top w:val="single" w:sz="4" w:space="0" w:color="auto"/>
              <w:left w:val="nil"/>
              <w:bottom w:val="single" w:sz="4" w:space="0" w:color="auto"/>
              <w:right w:val="single" w:sz="4" w:space="0" w:color="auto"/>
            </w:tcBorders>
            <w:shd w:val="clear" w:color="auto" w:fill="FFFF00"/>
            <w:tcMar>
              <w:top w:w="15" w:type="dxa"/>
              <w:left w:w="15" w:type="dxa"/>
              <w:bottom w:w="0" w:type="dxa"/>
              <w:right w:w="15" w:type="dxa"/>
            </w:tcMar>
          </w:tcPr>
          <w:p w:rsidR="00C86F4F" w:rsidRPr="00C1591A" w:rsidRDefault="00C86F4F" w:rsidP="00F25598">
            <w:pPr>
              <w:spacing w:before="0" w:line="240" w:lineRule="auto"/>
              <w:jc w:val="right"/>
              <w:rPr>
                <w:sz w:val="20"/>
                <w:szCs w:val="20"/>
              </w:rPr>
            </w:pPr>
            <w:r w:rsidRPr="00C1591A">
              <w:rPr>
                <w:sz w:val="20"/>
                <w:szCs w:val="20"/>
              </w:rPr>
              <w:t>1,869</w:t>
            </w:r>
          </w:p>
        </w:tc>
      </w:tr>
      <w:tr w:rsidR="00C86F4F" w:rsidRPr="00C1591A" w:rsidTr="00F25598">
        <w:trPr>
          <w:trHeight w:val="315"/>
        </w:trPr>
        <w:tc>
          <w:tcPr>
            <w:tcW w:w="12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86F4F" w:rsidRDefault="00C86F4F" w:rsidP="00F25598">
            <w:pPr>
              <w:spacing w:before="0" w:line="240" w:lineRule="auto"/>
              <w:jc w:val="center"/>
              <w:rPr>
                <w:b/>
                <w:bCs/>
                <w:color w:val="000000"/>
                <w:sz w:val="20"/>
                <w:szCs w:val="20"/>
              </w:rPr>
            </w:pPr>
            <w:r>
              <w:rPr>
                <w:b/>
                <w:bCs/>
                <w:color w:val="000000"/>
                <w:sz w:val="20"/>
                <w:szCs w:val="20"/>
              </w:rPr>
              <w:t>Low adaptive capacity</w:t>
            </w:r>
          </w:p>
        </w:tc>
        <w:tc>
          <w:tcPr>
            <w:tcW w:w="20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rPr>
                <w:sz w:val="20"/>
                <w:szCs w:val="20"/>
              </w:rPr>
            </w:pPr>
            <w:r w:rsidRPr="00C1591A">
              <w:rPr>
                <w:sz w:val="20"/>
                <w:szCs w:val="20"/>
              </w:rPr>
              <w:t xml:space="preserve">Poor </w:t>
            </w:r>
            <w:proofErr w:type="spellStart"/>
            <w:r w:rsidRPr="00C1591A">
              <w:rPr>
                <w:sz w:val="20"/>
                <w:szCs w:val="20"/>
              </w:rPr>
              <w:t>dispersability</w:t>
            </w:r>
            <w:proofErr w:type="spellEnd"/>
          </w:p>
        </w:tc>
        <w:tc>
          <w:tcPr>
            <w:tcW w:w="258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rsidR="00C86F4F" w:rsidRDefault="00C86F4F" w:rsidP="00F25598">
            <w:pPr>
              <w:spacing w:before="0" w:line="240" w:lineRule="auto"/>
              <w:rPr>
                <w:sz w:val="20"/>
                <w:szCs w:val="20"/>
              </w:rPr>
            </w:pPr>
            <w:r w:rsidRPr="00C1591A">
              <w:rPr>
                <w:sz w:val="20"/>
                <w:szCs w:val="20"/>
              </w:rPr>
              <w:t>Limited dispersal ability</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jc w:val="right"/>
              <w:rPr>
                <w:sz w:val="20"/>
                <w:szCs w:val="20"/>
              </w:rPr>
            </w:pPr>
            <w:r w:rsidRPr="0049176B">
              <w:rPr>
                <w:sz w:val="20"/>
                <w:szCs w:val="20"/>
              </w:rPr>
              <w:t>1,993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524</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22.6</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106,611,380</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20.1</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6</w:t>
            </w:r>
          </w:p>
        </w:tc>
        <w:tc>
          <w:tcPr>
            <w:tcW w:w="102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0</w:t>
            </w:r>
          </w:p>
        </w:tc>
      </w:tr>
      <w:tr w:rsidR="00C86F4F" w:rsidRPr="00C1591A" w:rsidTr="00F25598">
        <w:trPr>
          <w:trHeight w:val="65"/>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color w:val="FF0000"/>
                <w:sz w:val="20"/>
                <w:szCs w:val="20"/>
              </w:rPr>
            </w:pPr>
            <w:r>
              <w:rPr>
                <w:color w:val="FF0000"/>
                <w:sz w:val="20"/>
                <w:szCs w:val="20"/>
              </w:rPr>
              <w:t>Geographical barriers</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49176B">
              <w:rPr>
                <w:color w:val="FF0000"/>
                <w:sz w:val="20"/>
                <w:szCs w:val="20"/>
              </w:rPr>
              <w:t>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109,168,370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20.5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C1591A">
              <w:rPr>
                <w:color w:val="FF0000"/>
                <w:sz w:val="20"/>
                <w:szCs w:val="20"/>
              </w:rPr>
              <w:t>0</w:t>
            </w:r>
          </w:p>
        </w:tc>
      </w:tr>
      <w:tr w:rsidR="00C86F4F" w:rsidRPr="00C1591A" w:rsidTr="00F25598">
        <w:trPr>
          <w:trHeight w:val="65"/>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202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6F4F" w:rsidRDefault="00C86F4F" w:rsidP="00F25598">
            <w:pPr>
              <w:spacing w:before="0" w:line="240" w:lineRule="auto"/>
              <w:rPr>
                <w:sz w:val="20"/>
                <w:szCs w:val="20"/>
              </w:rPr>
            </w:pPr>
            <w:r w:rsidRPr="00C1591A">
              <w:rPr>
                <w:sz w:val="20"/>
                <w:szCs w:val="20"/>
              </w:rPr>
              <w:t xml:space="preserve">Poor </w:t>
            </w:r>
            <w:proofErr w:type="spellStart"/>
            <w:r w:rsidRPr="00C1591A">
              <w:rPr>
                <w:sz w:val="20"/>
                <w:szCs w:val="20"/>
              </w:rPr>
              <w:t>evolvability</w:t>
            </w:r>
            <w:proofErr w:type="spellEnd"/>
          </w:p>
        </w:tc>
        <w:tc>
          <w:tcPr>
            <w:tcW w:w="258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6F4F" w:rsidRDefault="00C86F4F" w:rsidP="00F25598">
            <w:pPr>
              <w:spacing w:before="0" w:line="240" w:lineRule="auto"/>
              <w:rPr>
                <w:sz w:val="20"/>
                <w:szCs w:val="20"/>
              </w:rPr>
            </w:pPr>
            <w:r w:rsidRPr="00C1591A">
              <w:rPr>
                <w:sz w:val="20"/>
                <w:szCs w:val="20"/>
              </w:rPr>
              <w:t>Low genetic diversity</w:t>
            </w:r>
          </w:p>
        </w:tc>
        <w:tc>
          <w:tcPr>
            <w:tcW w:w="10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49176B">
              <w:rPr>
                <w:sz w:val="20"/>
                <w:szCs w:val="20"/>
              </w:rPr>
              <w:t>69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15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106,610,688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0</w:t>
            </w:r>
          </w:p>
        </w:tc>
      </w:tr>
      <w:tr w:rsidR="00C86F4F" w:rsidRPr="00C1591A" w:rsidTr="00F25598">
        <w:trPr>
          <w:trHeight w:val="65"/>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rsidR="00C86F4F" w:rsidRDefault="00C86F4F" w:rsidP="00F25598">
            <w:pPr>
              <w:spacing w:before="0" w:line="240" w:lineRule="auto"/>
              <w:rPr>
                <w:sz w:val="20"/>
                <w:szCs w:val="20"/>
              </w:rPr>
            </w:pPr>
            <w:r>
              <w:rPr>
                <w:sz w:val="20"/>
                <w:szCs w:val="20"/>
              </w:rPr>
              <w:t xml:space="preserve">Slow turnover of generations </w:t>
            </w:r>
          </w:p>
        </w:tc>
        <w:tc>
          <w:tcPr>
            <w:tcW w:w="10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C86F4F" w:rsidRDefault="00C86F4F" w:rsidP="00F25598">
            <w:pPr>
              <w:spacing w:before="0" w:line="240" w:lineRule="auto"/>
              <w:jc w:val="right"/>
              <w:rPr>
                <w:sz w:val="20"/>
                <w:szCs w:val="20"/>
              </w:rPr>
            </w:pPr>
            <w:r w:rsidRPr="0049176B">
              <w:rPr>
                <w:sz w:val="20"/>
                <w:szCs w:val="20"/>
              </w:rPr>
              <w:t>2,500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411</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17.7</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106,649,089</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sz w:val="20"/>
                <w:szCs w:val="20"/>
              </w:rPr>
            </w:pPr>
            <w:r w:rsidRPr="00FB2255">
              <w:rPr>
                <w:sz w:val="20"/>
                <w:szCs w:val="20"/>
              </w:rPr>
              <w:t>20.1</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b/>
                <w:bCs/>
                <w:sz w:val="20"/>
                <w:szCs w:val="20"/>
              </w:rPr>
            </w:pPr>
            <w:r w:rsidRPr="00FB2255">
              <w:rPr>
                <w:b/>
                <w:bCs/>
                <w:sz w:val="20"/>
                <w:szCs w:val="20"/>
              </w:rPr>
              <w:t>6</w:t>
            </w:r>
          </w:p>
        </w:tc>
        <w:tc>
          <w:tcPr>
            <w:tcW w:w="102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rsidR="00C86F4F" w:rsidRDefault="00C86F4F" w:rsidP="00F25598">
            <w:pPr>
              <w:spacing w:before="0" w:line="240" w:lineRule="auto"/>
              <w:jc w:val="right"/>
              <w:rPr>
                <w:sz w:val="20"/>
                <w:szCs w:val="20"/>
              </w:rPr>
            </w:pPr>
            <w:r w:rsidRPr="00C1591A">
              <w:rPr>
                <w:sz w:val="20"/>
                <w:szCs w:val="20"/>
              </w:rPr>
              <w:t>0</w:t>
            </w:r>
          </w:p>
        </w:tc>
      </w:tr>
      <w:tr w:rsidR="00C86F4F" w:rsidRPr="00C1591A" w:rsidTr="00F25598">
        <w:trPr>
          <w:trHeight w:val="114"/>
        </w:trPr>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86F4F" w:rsidRDefault="00C86F4F" w:rsidP="00F25598">
            <w:pPr>
              <w:spacing w:before="0" w:line="240" w:lineRule="auto"/>
              <w:rPr>
                <w:sz w:val="20"/>
                <w:szCs w:val="20"/>
              </w:rPr>
            </w:pPr>
          </w:p>
        </w:tc>
        <w:tc>
          <w:tcPr>
            <w:tcW w:w="258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rsidR="00C86F4F" w:rsidRDefault="00C86F4F" w:rsidP="00F25598">
            <w:pPr>
              <w:spacing w:before="0" w:line="240" w:lineRule="auto"/>
              <w:rPr>
                <w:color w:val="FF0000"/>
                <w:sz w:val="20"/>
                <w:szCs w:val="20"/>
              </w:rPr>
            </w:pPr>
            <w:r>
              <w:rPr>
                <w:color w:val="FF0000"/>
                <w:sz w:val="20"/>
                <w:szCs w:val="20"/>
              </w:rPr>
              <w:t>Low reproductive output</w:t>
            </w:r>
          </w:p>
        </w:tc>
        <w:tc>
          <w:tcPr>
            <w:tcW w:w="10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49176B">
              <w:rPr>
                <w:color w:val="FF0000"/>
                <w:sz w:val="20"/>
                <w:szCs w:val="20"/>
              </w:rPr>
              <w:t>2,414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439</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18.9</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109,374,216</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FB2255">
              <w:rPr>
                <w:color w:val="FF0000"/>
                <w:sz w:val="20"/>
                <w:szCs w:val="20"/>
              </w:rPr>
              <w:t>20.6</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hideMark/>
          </w:tcPr>
          <w:p w:rsidR="00C86F4F" w:rsidRDefault="00C86F4F" w:rsidP="00F25598">
            <w:pPr>
              <w:spacing w:before="0" w:line="240" w:lineRule="auto"/>
              <w:jc w:val="right"/>
              <w:rPr>
                <w:b/>
                <w:bCs/>
                <w:color w:val="FF0000"/>
                <w:sz w:val="20"/>
                <w:szCs w:val="20"/>
              </w:rPr>
            </w:pPr>
            <w:r w:rsidRPr="00FB2255">
              <w:rPr>
                <w:b/>
                <w:bCs/>
                <w:color w:val="FF0000"/>
                <w:sz w:val="20"/>
                <w:szCs w:val="20"/>
              </w:rPr>
              <w:t>2</w:t>
            </w:r>
          </w:p>
        </w:tc>
        <w:tc>
          <w:tcPr>
            <w:tcW w:w="1020"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rsidR="00C86F4F" w:rsidRDefault="00C86F4F" w:rsidP="00F25598">
            <w:pPr>
              <w:spacing w:before="0" w:line="240" w:lineRule="auto"/>
              <w:jc w:val="right"/>
              <w:rPr>
                <w:color w:val="FF0000"/>
                <w:sz w:val="20"/>
                <w:szCs w:val="20"/>
              </w:rPr>
            </w:pPr>
            <w:r w:rsidRPr="00C1591A">
              <w:rPr>
                <w:color w:val="FF0000"/>
                <w:sz w:val="20"/>
                <w:szCs w:val="20"/>
              </w:rPr>
              <w:t>3,496</w:t>
            </w:r>
          </w:p>
        </w:tc>
      </w:tr>
      <w:tr w:rsidR="00C86F4F" w:rsidRPr="00C1591A" w:rsidTr="00F25598">
        <w:trPr>
          <w:trHeight w:val="315"/>
        </w:trPr>
        <w:tc>
          <w:tcPr>
            <w:tcW w:w="5820" w:type="dxa"/>
            <w:gridSpan w:val="3"/>
            <w:tcBorders>
              <w:top w:val="nil"/>
              <w:left w:val="single" w:sz="8" w:space="0" w:color="auto"/>
              <w:bottom w:val="single" w:sz="8" w:space="0" w:color="auto"/>
              <w:right w:val="nil"/>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r w:rsidRPr="00FB2255">
              <w:rPr>
                <w:b/>
                <w:bCs/>
                <w:color w:val="000000"/>
                <w:sz w:val="20"/>
                <w:szCs w:val="20"/>
              </w:rPr>
              <w:t xml:space="preserve">Total numbers of </w:t>
            </w:r>
            <w:r>
              <w:rPr>
                <w:b/>
                <w:bCs/>
                <w:color w:val="000000"/>
                <w:sz w:val="20"/>
                <w:szCs w:val="20"/>
              </w:rPr>
              <w:t>vulnerable</w:t>
            </w:r>
            <w:r w:rsidRPr="00FB2255">
              <w:rPr>
                <w:b/>
                <w:bCs/>
                <w:color w:val="000000"/>
                <w:sz w:val="20"/>
                <w:szCs w:val="20"/>
              </w:rPr>
              <w:t xml:space="preserve"> species/area</w:t>
            </w:r>
          </w:p>
        </w:tc>
        <w:tc>
          <w:tcPr>
            <w:tcW w:w="1000"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FB2255">
              <w:rPr>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49176B">
              <w:rPr>
                <w:b/>
                <w:bCs/>
                <w:color w:val="000000"/>
                <w:sz w:val="20"/>
                <w:szCs w:val="20"/>
              </w:rPr>
              <w:t>2,323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FB2255">
              <w:rPr>
                <w:b/>
                <w:bCs/>
                <w:color w:val="000000"/>
                <w:sz w:val="20"/>
                <w:szCs w:val="20"/>
              </w:rPr>
              <w:t>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FB2255">
              <w:rPr>
                <w:b/>
                <w:bCs/>
                <w:color w:val="000000"/>
                <w:sz w:val="20"/>
                <w:szCs w:val="20"/>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FB2255">
              <w:rPr>
                <w:b/>
                <w:bCs/>
                <w:color w:val="000000"/>
                <w:sz w:val="20"/>
                <w:szCs w:val="20"/>
              </w:rPr>
              <w:t>531,435,729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p>
        </w:tc>
      </w:tr>
      <w:tr w:rsidR="00C86F4F" w:rsidRPr="00C1591A" w:rsidTr="00F25598">
        <w:trPr>
          <w:trHeight w:val="315"/>
        </w:trPr>
        <w:tc>
          <w:tcPr>
            <w:tcW w:w="5820" w:type="dxa"/>
            <w:gridSpan w:val="3"/>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r w:rsidRPr="00FB2255">
              <w:rPr>
                <w:b/>
                <w:bCs/>
                <w:color w:val="000000"/>
                <w:sz w:val="20"/>
                <w:szCs w:val="20"/>
              </w:rPr>
              <w:t>Total number of species</w:t>
            </w:r>
          </w:p>
        </w:tc>
        <w:tc>
          <w:tcPr>
            <w:tcW w:w="1000"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FB2255">
              <w:rPr>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r w:rsidRPr="00FB2255">
              <w:rPr>
                <w:b/>
                <w:bCs/>
                <w:color w:val="000000"/>
                <w:sz w:val="20"/>
                <w:szCs w:val="20"/>
              </w:rPr>
              <w:t>9,856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86F4F" w:rsidRDefault="00C86F4F" w:rsidP="00F25598">
            <w:pPr>
              <w:spacing w:before="0" w:line="240" w:lineRule="auto"/>
              <w:jc w:val="right"/>
              <w:rPr>
                <w:b/>
                <w:bCs/>
                <w:color w:val="000000"/>
                <w:sz w:val="20"/>
                <w:szCs w:val="20"/>
              </w:rPr>
            </w:pPr>
          </w:p>
        </w:tc>
      </w:tr>
    </w:tbl>
    <w:p w:rsidR="00C86F4F" w:rsidRDefault="00C86F4F" w:rsidP="00C86F4F">
      <w:pPr>
        <w:spacing w:before="0" w:after="200" w:line="276" w:lineRule="auto"/>
        <w:rPr>
          <w:b/>
        </w:rPr>
      </w:pPr>
    </w:p>
    <w:p w:rsidR="000E7D76" w:rsidRDefault="000E7D76"/>
    <w:sectPr w:rsidR="000E7D76" w:rsidSect="00C86F4F">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4F"/>
    <w:rsid w:val="000E7D76"/>
    <w:rsid w:val="00C8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4F"/>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C86F4F"/>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86F4F"/>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4F"/>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C86F4F"/>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86F4F"/>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1</cp:revision>
  <dcterms:created xsi:type="dcterms:W3CDTF">2013-05-14T14:39:00Z</dcterms:created>
  <dcterms:modified xsi:type="dcterms:W3CDTF">2013-05-14T14:40:00Z</dcterms:modified>
</cp:coreProperties>
</file>