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A0B" w:rsidRPr="00B90A95" w:rsidRDefault="00164B7C" w:rsidP="00164B7C">
      <w:pPr>
        <w:spacing w:line="360" w:lineRule="auto"/>
        <w:jc w:val="both"/>
        <w:rPr>
          <w:rFonts w:ascii="Calibri" w:hAnsi="Calibri"/>
          <w:bCs/>
        </w:rPr>
      </w:pPr>
      <w:r w:rsidRPr="00267476">
        <w:rPr>
          <w:rFonts w:ascii="Arial" w:hAnsi="Arial" w:cs="Arial"/>
          <w:b/>
        </w:rPr>
        <w:t xml:space="preserve">Figure S2. (A) </w:t>
      </w:r>
      <w:r w:rsidRPr="00267476">
        <w:rPr>
          <w:rFonts w:ascii="Arial" w:hAnsi="Arial" w:cs="Arial"/>
        </w:rPr>
        <w:t>H</w:t>
      </w:r>
      <w:r w:rsidRPr="00267476">
        <w:rPr>
          <w:rFonts w:ascii="Arial" w:hAnsi="Arial" w:cs="Arial"/>
          <w:iCs/>
        </w:rPr>
        <w:t xml:space="preserve">eatmap of very young-specific tumor genes across all tumor samples. </w:t>
      </w:r>
      <w:r w:rsidRPr="00267476">
        <w:rPr>
          <w:rFonts w:ascii="Arial" w:hAnsi="Arial" w:cs="Arial"/>
        </w:rPr>
        <w:t>Samples are denoted in columns and genes are denoted in rows. The heatmap clearly shows that those set of genes were significantly up- or down-regulated in tumor samples from very young women. The expression level of each gene across the samples is scaled to [-3, 3] interval. These mapped expression levels are depicted using a color scale as shown at the top of the figure, as such highly expressed genes are indicated in red, intermediate in black, and weakly expressed in green.  (B) Validation of microarray data by realtime RT-PCR.</w:t>
      </w:r>
      <w:r w:rsidRPr="00267476">
        <w:rPr>
          <w:rFonts w:ascii="Arial" w:hAnsi="Arial" w:cs="Arial"/>
          <w:b/>
          <w:bCs/>
        </w:rPr>
        <w:t xml:space="preserve">  </w:t>
      </w:r>
      <w:r w:rsidRPr="00267476">
        <w:rPr>
          <w:rFonts w:ascii="Arial" w:hAnsi="Arial" w:cs="Arial"/>
          <w:bCs/>
        </w:rPr>
        <w:t xml:space="preserve">Ratio of expression for each gene in Young (age 35 to </w:t>
      </w:r>
      <w:bookmarkStart w:id="0" w:name="_GoBack"/>
      <w:bookmarkEnd w:id="0"/>
      <w:r w:rsidRPr="00267476">
        <w:rPr>
          <w:rFonts w:ascii="Arial" w:hAnsi="Arial" w:cs="Arial"/>
          <w:bCs/>
        </w:rPr>
        <w:t>45)</w:t>
      </w:r>
      <w:r w:rsidRPr="00267476">
        <w:rPr>
          <w:rFonts w:ascii="Arial" w:hAnsi="Arial" w:cs="Arial"/>
          <w:bCs/>
        </w:rPr>
        <w:t xml:space="preserve"> to very young (&lt;=35). Red bars represent microarray hybridizations, and, and blue bars represent values from qRT-PCR. </w:t>
      </w:r>
      <w:r w:rsidRPr="00267476">
        <w:rPr>
          <w:rFonts w:ascii="Arial" w:hAnsi="Arial" w:cs="Arial"/>
        </w:rPr>
        <w:t>(C) Gene</w:t>
      </w:r>
      <w:r w:rsidRPr="00267476">
        <w:rPr>
          <w:rFonts w:ascii="Arial" w:hAnsi="Arial" w:cs="Arial"/>
          <w:b/>
        </w:rPr>
        <w:t xml:space="preserve"> </w:t>
      </w:r>
      <w:r w:rsidRPr="00267476">
        <w:rPr>
          <w:rFonts w:ascii="Arial" w:hAnsi="Arial" w:cs="Arial"/>
          <w:bCs/>
        </w:rPr>
        <w:t>interaction networks analysis of genes specific to very young women tumor.  Green/red indicates decreased/increased mRNA expression in younger patients compared to older counterparts. The color intensity is correlated with fold change. Straight lines are for direct gene to gene interactions, dashed lines are for indirect ones.</w:t>
      </w:r>
    </w:p>
    <w:p w:rsidR="00112A0B" w:rsidRPr="00112A0B" w:rsidRDefault="00112A0B" w:rsidP="00164B7C">
      <w:pPr>
        <w:jc w:val="both"/>
        <w:rPr>
          <w:b/>
        </w:rPr>
      </w:pPr>
      <w:r>
        <w:rPr>
          <w:b/>
        </w:rPr>
        <w:t>(A)</w:t>
      </w:r>
    </w:p>
    <w:p w:rsidR="009E6B7A" w:rsidRPr="006E0536" w:rsidRDefault="00112A0B" w:rsidP="006E0536">
      <w:pPr>
        <w:rPr>
          <w:b/>
        </w:rPr>
      </w:pPr>
      <w:r w:rsidRPr="00112A0B">
        <w:rPr>
          <w:b/>
          <w:noProof/>
        </w:rPr>
        <w:drawing>
          <wp:inline distT="0" distB="0" distL="0" distR="0">
            <wp:extent cx="4800600" cy="1285875"/>
            <wp:effectExtent l="19050" t="0" r="0" b="0"/>
            <wp:docPr id="19" name="Picture 5" descr="PTM_out of 71 genes_v young_down re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TM_out of 71 genes_v young_down reg.tiff"/>
                    <pic:cNvPicPr>
                      <a:picLocks noChangeAspect="1" noChangeArrowheads="1"/>
                    </pic:cNvPicPr>
                  </pic:nvPicPr>
                  <pic:blipFill>
                    <a:blip r:embed="rId5" cstate="print"/>
                    <a:srcRect r="26443" b="82130"/>
                    <a:stretch>
                      <a:fillRect/>
                    </a:stretch>
                  </pic:blipFill>
                  <pic:spPr bwMode="auto">
                    <a:xfrm>
                      <a:off x="0" y="0"/>
                      <a:ext cx="4800600" cy="1285875"/>
                    </a:xfrm>
                    <a:prstGeom prst="rect">
                      <a:avLst/>
                    </a:prstGeom>
                    <a:noFill/>
                    <a:ln w="9525">
                      <a:noFill/>
                      <a:miter lim="800000"/>
                      <a:headEnd/>
                      <a:tailEnd/>
                    </a:ln>
                  </pic:spPr>
                </pic:pic>
              </a:graphicData>
            </a:graphic>
          </wp:inline>
        </w:drawing>
      </w:r>
      <w:r w:rsidRPr="00112A0B">
        <w:rPr>
          <w:b/>
          <w:noProof/>
        </w:rPr>
        <w:drawing>
          <wp:inline distT="0" distB="0" distL="0" distR="0">
            <wp:extent cx="4800600" cy="657225"/>
            <wp:effectExtent l="19050" t="0" r="0" b="0"/>
            <wp:docPr id="20" name="Picture 6" descr="PTM_out of 71 genes_v young_up reg.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TM_out of 71 genes_v young_up reg.tiff"/>
                    <pic:cNvPicPr>
                      <a:picLocks noChangeAspect="1" noChangeArrowheads="1"/>
                    </pic:cNvPicPr>
                  </pic:nvPicPr>
                  <pic:blipFill>
                    <a:blip r:embed="rId6" cstate="print"/>
                    <a:srcRect t="11983" r="26472" b="76817"/>
                    <a:stretch>
                      <a:fillRect/>
                    </a:stretch>
                  </pic:blipFill>
                  <pic:spPr bwMode="auto">
                    <a:xfrm>
                      <a:off x="0" y="0"/>
                      <a:ext cx="4800600" cy="657225"/>
                    </a:xfrm>
                    <a:prstGeom prst="rect">
                      <a:avLst/>
                    </a:prstGeom>
                    <a:noFill/>
                    <a:ln w="9525">
                      <a:noFill/>
                      <a:miter lim="800000"/>
                      <a:headEnd/>
                      <a:tailEnd/>
                    </a:ln>
                  </pic:spPr>
                </pic:pic>
              </a:graphicData>
            </a:graphic>
          </wp:inline>
        </w:drawing>
      </w:r>
    </w:p>
    <w:p w:rsidR="00112A0B" w:rsidRDefault="00112A0B" w:rsidP="00112A0B">
      <w:pPr>
        <w:spacing w:line="360" w:lineRule="auto"/>
        <w:jc w:val="both"/>
        <w:rPr>
          <w:rFonts w:ascii="Calibri" w:hAnsi="Calibri"/>
          <w:b/>
          <w:bCs/>
          <w:sz w:val="20"/>
          <w:szCs w:val="20"/>
        </w:rPr>
      </w:pPr>
      <w:r>
        <w:rPr>
          <w:rFonts w:ascii="Calibri" w:hAnsi="Calibri"/>
          <w:b/>
          <w:bCs/>
          <w:sz w:val="20"/>
          <w:szCs w:val="20"/>
        </w:rPr>
        <w:t xml:space="preserve"> (B)</w:t>
      </w:r>
    </w:p>
    <w:p w:rsidR="00112A0B" w:rsidRDefault="00112A0B" w:rsidP="00112A0B">
      <w:pPr>
        <w:spacing w:line="360" w:lineRule="auto"/>
        <w:jc w:val="both"/>
        <w:rPr>
          <w:rFonts w:ascii="Calibri" w:hAnsi="Calibri"/>
          <w:b/>
          <w:bCs/>
          <w:sz w:val="20"/>
          <w:szCs w:val="20"/>
        </w:rPr>
      </w:pPr>
      <w:r>
        <w:rPr>
          <w:rFonts w:ascii="Times New Roman" w:hAnsi="Times New Roman"/>
          <w:noProof/>
          <w:sz w:val="24"/>
          <w:szCs w:val="24"/>
        </w:rPr>
        <w:drawing>
          <wp:anchor distT="0" distB="0" distL="114300" distR="114300" simplePos="0" relativeHeight="251661312" behindDoc="0" locked="0" layoutInCell="1" allowOverlap="1">
            <wp:simplePos x="0" y="0"/>
            <wp:positionH relativeFrom="column">
              <wp:posOffset>12984</wp:posOffset>
            </wp:positionH>
            <wp:positionV relativeFrom="paragraph">
              <wp:posOffset>6477</wp:posOffset>
            </wp:positionV>
            <wp:extent cx="4215974" cy="2917698"/>
            <wp:effectExtent l="12984" t="6477" r="9667" b="0"/>
            <wp:wrapNone/>
            <wp:docPr id="3" name="Chart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112A0B" w:rsidRDefault="00164B7C" w:rsidP="00112A0B">
      <w:pPr>
        <w:spacing w:line="360" w:lineRule="auto"/>
        <w:jc w:val="both"/>
        <w:rPr>
          <w:rFonts w:ascii="Calibri" w:hAnsi="Calibri"/>
          <w:b/>
          <w:bCs/>
          <w:sz w:val="20"/>
          <w:szCs w:val="20"/>
        </w:rPr>
      </w:pPr>
      <w:r>
        <w:rPr>
          <w:rFonts w:ascii="Calibri" w:hAnsi="Calibri"/>
          <w:b/>
          <w:bCs/>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-5423535</wp:posOffset>
                </wp:positionV>
                <wp:extent cx="4041775" cy="3387725"/>
                <wp:effectExtent l="0" t="2540" r="0" b="635"/>
                <wp:wrapNone/>
                <wp:docPr id="1" name="Object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1775" cy="33877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Object 12" o:spid="_x0000_s1026" style="position:absolute;margin-left:0;margin-top:-427.05pt;width:318.25pt;height:26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" filled="f" stroked="f"/>
            </w:pict>
          </mc:Fallback>
        </mc:AlternateContent>
      </w:r>
    </w:p>
    <w:p w:rsidR="00112A0B" w:rsidRDefault="00112A0B" w:rsidP="00112A0B">
      <w:pPr>
        <w:spacing w:line="360" w:lineRule="auto"/>
        <w:jc w:val="both"/>
        <w:rPr>
          <w:rFonts w:ascii="Calibri" w:hAnsi="Calibri"/>
          <w:b/>
        </w:rPr>
      </w:pPr>
    </w:p>
    <w:p w:rsidR="00112A0B" w:rsidRDefault="00112A0B" w:rsidP="00112A0B">
      <w:pPr>
        <w:spacing w:line="360" w:lineRule="auto"/>
        <w:jc w:val="both"/>
        <w:rPr>
          <w:rFonts w:ascii="Calibri" w:hAnsi="Calibri"/>
          <w:b/>
        </w:rPr>
      </w:pPr>
    </w:p>
    <w:p w:rsidR="00112A0B" w:rsidRDefault="00112A0B" w:rsidP="00112A0B">
      <w:pPr>
        <w:spacing w:line="360" w:lineRule="auto"/>
        <w:jc w:val="both"/>
        <w:rPr>
          <w:rFonts w:ascii="Calibri" w:hAnsi="Calibri"/>
          <w:b/>
        </w:rPr>
      </w:pPr>
    </w:p>
    <w:p w:rsidR="00112A0B" w:rsidRDefault="00112A0B"/>
    <w:p w:rsidR="00AC5F8A" w:rsidRDefault="006E0536" w:rsidP="0089398E">
      <w:r>
        <w:lastRenderedPageBreak/>
        <w:t>(C)</w:t>
      </w:r>
    </w:p>
    <w:p w:rsidR="006E0536" w:rsidRDefault="006E0536">
      <w:r>
        <w:rPr>
          <w:noProof/>
        </w:rPr>
        <w:drawing>
          <wp:anchor distT="0" distB="0" distL="114300" distR="114300" simplePos="0" relativeHeight="251662336" behindDoc="0" locked="0" layoutInCell="1" allowOverlap="1">
            <wp:simplePos x="0" y="0"/>
            <wp:positionH relativeFrom="column">
              <wp:posOffset>12700</wp:posOffset>
            </wp:positionH>
            <wp:positionV relativeFrom="paragraph">
              <wp:posOffset>232189</wp:posOffset>
            </wp:positionV>
            <wp:extent cx="5037980" cy="4190337"/>
            <wp:effectExtent l="19050" t="0" r="0" b="0"/>
            <wp:wrapNone/>
            <wp:docPr id="5" name="Picture 9" descr="VeryYoungAge_71specific genes_top2networ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eryYoungAge_71specific genes_top2network.tif"/>
                    <pic:cNvPicPr>
                      <a:picLocks noChangeAspect="1" noChangeArrowheads="1"/>
                    </pic:cNvPicPr>
                  </pic:nvPicPr>
                  <pic:blipFill>
                    <a:blip r:embed="rId8" cstate="print"/>
                    <a:srcRect t="3828" b="2553"/>
                    <a:stretch>
                      <a:fillRect/>
                    </a:stretch>
                  </pic:blipFill>
                  <pic:spPr bwMode="auto">
                    <a:xfrm>
                      <a:off x="0" y="0"/>
                      <a:ext cx="5037980" cy="4190337"/>
                    </a:xfrm>
                    <a:prstGeom prst="rect">
                      <a:avLst/>
                    </a:prstGeom>
                    <a:noFill/>
                    <a:ln w="9525">
                      <a:noFill/>
                      <a:miter lim="800000"/>
                      <a:headEnd/>
                      <a:tailEnd/>
                    </a:ln>
                  </pic:spPr>
                </pic:pic>
              </a:graphicData>
            </a:graphic>
          </wp:anchor>
        </w:drawing>
      </w:r>
    </w:p>
    <w:sectPr w:rsidR="006E0536" w:rsidSect="009E6B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A0B"/>
    <w:rsid w:val="00112A0B"/>
    <w:rsid w:val="00164B7C"/>
    <w:rsid w:val="00261DAE"/>
    <w:rsid w:val="002C39BE"/>
    <w:rsid w:val="00357C3E"/>
    <w:rsid w:val="003E51BF"/>
    <w:rsid w:val="00465147"/>
    <w:rsid w:val="004D01AE"/>
    <w:rsid w:val="006D0138"/>
    <w:rsid w:val="006E0536"/>
    <w:rsid w:val="00740673"/>
    <w:rsid w:val="0084726E"/>
    <w:rsid w:val="0089398E"/>
    <w:rsid w:val="008B2B71"/>
    <w:rsid w:val="00913CAA"/>
    <w:rsid w:val="009E6B7A"/>
    <w:rsid w:val="00A42D7E"/>
    <w:rsid w:val="00AC5F8A"/>
    <w:rsid w:val="00AD10CA"/>
    <w:rsid w:val="00B90A95"/>
    <w:rsid w:val="00BE65DA"/>
    <w:rsid w:val="00C11ED3"/>
    <w:rsid w:val="00C251C1"/>
    <w:rsid w:val="00D951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1D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chart" Target="charts/chart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D:\DILEK_SUAD\RealtimeRT-PCR%20results\realtime%20results.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Sheet1!$A$11</c:f>
              <c:strCache>
                <c:ptCount val="1"/>
                <c:pt idx="0">
                  <c:v>qRTPCR</c:v>
                </c:pt>
              </c:strCache>
            </c:strRef>
          </c:tx>
          <c:invertIfNegative val="0"/>
          <c:cat>
            <c:strRef>
              <c:f>Sheet1!$B$10:$F$10</c:f>
              <c:strCache>
                <c:ptCount val="5"/>
                <c:pt idx="0">
                  <c:v>ESR1</c:v>
                </c:pt>
                <c:pt idx="1">
                  <c:v>IL1RN</c:v>
                </c:pt>
                <c:pt idx="2">
                  <c:v>SEPP1</c:v>
                </c:pt>
                <c:pt idx="3">
                  <c:v>TIAM1</c:v>
                </c:pt>
                <c:pt idx="4">
                  <c:v>SCD</c:v>
                </c:pt>
              </c:strCache>
            </c:strRef>
          </c:cat>
          <c:val>
            <c:numRef>
              <c:f>Sheet1!$B$11:$F$11</c:f>
              <c:numCache>
                <c:formatCode>General</c:formatCode>
                <c:ptCount val="5"/>
                <c:pt idx="0">
                  <c:v>2.9</c:v>
                </c:pt>
                <c:pt idx="1">
                  <c:v>4.3</c:v>
                </c:pt>
                <c:pt idx="2">
                  <c:v>-2.7</c:v>
                </c:pt>
                <c:pt idx="3">
                  <c:v>3.08</c:v>
                </c:pt>
                <c:pt idx="4">
                  <c:v>1.57</c:v>
                </c:pt>
              </c:numCache>
            </c:numRef>
          </c:val>
        </c:ser>
        <c:ser>
          <c:idx val="1"/>
          <c:order val="1"/>
          <c:tx>
            <c:strRef>
              <c:f>Sheet1!$A$12</c:f>
              <c:strCache>
                <c:ptCount val="1"/>
                <c:pt idx="0">
                  <c:v>Microarray</c:v>
                </c:pt>
              </c:strCache>
            </c:strRef>
          </c:tx>
          <c:invertIfNegative val="0"/>
          <c:cat>
            <c:strRef>
              <c:f>Sheet1!$B$10:$F$10</c:f>
              <c:strCache>
                <c:ptCount val="5"/>
                <c:pt idx="0">
                  <c:v>ESR1</c:v>
                </c:pt>
                <c:pt idx="1">
                  <c:v>IL1RN</c:v>
                </c:pt>
                <c:pt idx="2">
                  <c:v>SEPP1</c:v>
                </c:pt>
                <c:pt idx="3">
                  <c:v>TIAM1</c:v>
                </c:pt>
                <c:pt idx="4">
                  <c:v>SCD</c:v>
                </c:pt>
              </c:strCache>
            </c:strRef>
          </c:cat>
          <c:val>
            <c:numRef>
              <c:f>Sheet1!$B$12:$F$12</c:f>
              <c:numCache>
                <c:formatCode>General</c:formatCode>
                <c:ptCount val="5"/>
                <c:pt idx="0">
                  <c:v>4</c:v>
                </c:pt>
                <c:pt idx="1">
                  <c:v>2.5</c:v>
                </c:pt>
                <c:pt idx="2">
                  <c:v>-2.2999999999999998</c:v>
                </c:pt>
                <c:pt idx="3">
                  <c:v>2.9</c:v>
                </c:pt>
                <c:pt idx="4">
                  <c:v>-2.2999999999999998</c:v>
                </c:pt>
              </c:numCache>
            </c:numRef>
          </c:val>
        </c:ser>
        <c:dLbls>
          <c:showLegendKey val="0"/>
          <c:showVal val="0"/>
          <c:showCatName val="0"/>
          <c:showSerName val="0"/>
          <c:showPercent val="0"/>
          <c:showBubbleSize val="0"/>
        </c:dLbls>
        <c:gapWidth val="150"/>
        <c:axId val="62881152"/>
        <c:axId val="62911616"/>
      </c:barChart>
      <c:catAx>
        <c:axId val="62881152"/>
        <c:scaling>
          <c:orientation val="minMax"/>
        </c:scaling>
        <c:delete val="0"/>
        <c:axPos val="b"/>
        <c:numFmt formatCode="General" sourceLinked="1"/>
        <c:majorTickMark val="out"/>
        <c:minorTickMark val="none"/>
        <c:tickLblPos val="nextTo"/>
        <c:crossAx val="62911616"/>
        <c:crosses val="autoZero"/>
        <c:auto val="1"/>
        <c:lblAlgn val="ctr"/>
        <c:lblOffset val="100"/>
        <c:noMultiLvlLbl val="0"/>
      </c:catAx>
      <c:valAx>
        <c:axId val="62911616"/>
        <c:scaling>
          <c:orientation val="minMax"/>
        </c:scaling>
        <c:delete val="0"/>
        <c:axPos val="l"/>
        <c:majorGridlines/>
        <c:numFmt formatCode="General" sourceLinked="1"/>
        <c:majorTickMark val="out"/>
        <c:minorTickMark val="none"/>
        <c:tickLblPos val="nextTo"/>
        <c:crossAx val="6288115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173</Words>
  <Characters>990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 Colak</dc:creator>
  <cp:lastModifiedBy>COLAK, DILEK</cp:lastModifiedBy>
  <cp:revision>2</cp:revision>
  <dcterms:created xsi:type="dcterms:W3CDTF">2013-04-23T15:18:00Z</dcterms:created>
  <dcterms:modified xsi:type="dcterms:W3CDTF">2013-04-23T15:18:00Z</dcterms:modified>
</cp:coreProperties>
</file>