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  <w:r w:rsidRPr="00E60936">
        <w:rPr>
          <w:b/>
          <w:bCs/>
        </w:rPr>
        <w:t xml:space="preserve">Supplementary </w:t>
      </w:r>
      <w:r w:rsidR="00C37C2A">
        <w:rPr>
          <w:b/>
          <w:bCs/>
        </w:rPr>
        <w:t>t</w:t>
      </w:r>
      <w:r w:rsidRPr="00E60936">
        <w:rPr>
          <w:b/>
          <w:bCs/>
        </w:rPr>
        <w:t>able S</w:t>
      </w:r>
      <w:r w:rsidR="0047769B">
        <w:rPr>
          <w:b/>
          <w:bCs/>
        </w:rPr>
        <w:t>7</w:t>
      </w:r>
      <w:r w:rsidRPr="00E60936">
        <w:rPr>
          <w:b/>
          <w:bCs/>
        </w:rPr>
        <w:t xml:space="preserve">: </w:t>
      </w:r>
      <w:r w:rsidRPr="00E60936">
        <w:rPr>
          <w:bCs/>
        </w:rPr>
        <w:t xml:space="preserve">Survival based on risk stratification by SWG score 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tbl>
      <w:tblPr>
        <w:tblStyle w:val="TableGrid"/>
        <w:tblW w:w="9860" w:type="dxa"/>
        <w:tblLook w:val="00A0"/>
      </w:tblPr>
      <w:tblGrid>
        <w:gridCol w:w="1670"/>
        <w:gridCol w:w="1800"/>
        <w:gridCol w:w="1260"/>
        <w:gridCol w:w="2160"/>
        <w:gridCol w:w="1620"/>
        <w:gridCol w:w="1350"/>
      </w:tblGrid>
      <w:tr w:rsidR="00E60936" w:rsidRPr="00E60936" w:rsidTr="007F3C38">
        <w:trPr>
          <w:trHeight w:val="695"/>
        </w:trPr>
        <w:tc>
          <w:tcPr>
            <w:tcW w:w="167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Cohort</w:t>
            </w:r>
          </w:p>
        </w:tc>
        <w:tc>
          <w:tcPr>
            <w:tcW w:w="1800" w:type="dxa"/>
          </w:tcPr>
          <w:p w:rsid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b/>
                <w:bCs/>
              </w:rPr>
            </w:pPr>
            <w:r w:rsidRPr="00E60936">
              <w:rPr>
                <w:b/>
                <w:bCs/>
              </w:rPr>
              <w:t xml:space="preserve">Risk </w:t>
            </w:r>
          </w:p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stratification</w:t>
            </w:r>
          </w:p>
        </w:tc>
        <w:tc>
          <w:tcPr>
            <w:tcW w:w="1260" w:type="dxa"/>
          </w:tcPr>
          <w:p w:rsid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b/>
                <w:bCs/>
              </w:rPr>
            </w:pPr>
            <w:r w:rsidRPr="00E60936">
              <w:rPr>
                <w:b/>
                <w:bCs/>
              </w:rPr>
              <w:t>No of</w:t>
            </w:r>
          </w:p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patients</w:t>
            </w:r>
          </w:p>
        </w:tc>
        <w:tc>
          <w:tcPr>
            <w:tcW w:w="2160" w:type="dxa"/>
          </w:tcPr>
          <w:p w:rsid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b/>
                <w:bCs/>
              </w:rPr>
            </w:pPr>
            <w:r w:rsidRPr="00E60936">
              <w:rPr>
                <w:b/>
                <w:bCs/>
              </w:rPr>
              <w:t xml:space="preserve">Median </w:t>
            </w:r>
          </w:p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survival (months)</w:t>
            </w:r>
          </w:p>
        </w:tc>
        <w:tc>
          <w:tcPr>
            <w:tcW w:w="1620" w:type="dxa"/>
          </w:tcPr>
          <w:p w:rsid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b/>
                <w:bCs/>
              </w:rPr>
            </w:pPr>
            <w:r w:rsidRPr="00E60936">
              <w:rPr>
                <w:b/>
                <w:bCs/>
              </w:rPr>
              <w:t>95% CI</w:t>
            </w:r>
            <w:r w:rsidRPr="00E60936">
              <w:rPr>
                <w:b/>
                <w:bCs/>
                <w:vertAlign w:val="superscript"/>
              </w:rPr>
              <w:t>*</w:t>
            </w:r>
          </w:p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(months)</w:t>
            </w:r>
          </w:p>
        </w:tc>
        <w:tc>
          <w:tcPr>
            <w:tcW w:w="135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rPr>
                <w:b/>
                <w:bCs/>
              </w:rPr>
              <w:t>P value</w:t>
            </w:r>
          </w:p>
        </w:tc>
      </w:tr>
      <w:tr w:rsidR="00D878A9" w:rsidRPr="00E60936" w:rsidTr="007F3C38">
        <w:tc>
          <w:tcPr>
            <w:tcW w:w="1670" w:type="dxa"/>
            <w:vMerge w:val="restart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Present study</w:t>
            </w:r>
          </w:p>
        </w:tc>
        <w:tc>
          <w:tcPr>
            <w:tcW w:w="180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Low risk</w:t>
            </w:r>
          </w:p>
        </w:tc>
        <w:tc>
          <w:tcPr>
            <w:tcW w:w="12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45</w:t>
            </w:r>
          </w:p>
        </w:tc>
        <w:tc>
          <w:tcPr>
            <w:tcW w:w="21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24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00</w:t>
            </w:r>
          </w:p>
        </w:tc>
        <w:tc>
          <w:tcPr>
            <w:tcW w:w="162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13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78-34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22</w:t>
            </w:r>
          </w:p>
        </w:tc>
        <w:tc>
          <w:tcPr>
            <w:tcW w:w="1350" w:type="dxa"/>
            <w:vMerge w:val="restart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&lt;0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001</w:t>
            </w:r>
          </w:p>
        </w:tc>
      </w:tr>
      <w:tr w:rsidR="00D878A9" w:rsidRPr="00E60936" w:rsidTr="007F3C38">
        <w:tc>
          <w:tcPr>
            <w:tcW w:w="1670" w:type="dxa"/>
            <w:vMerge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</w:p>
        </w:tc>
        <w:tc>
          <w:tcPr>
            <w:tcW w:w="180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High risk</w:t>
            </w:r>
          </w:p>
        </w:tc>
        <w:tc>
          <w:tcPr>
            <w:tcW w:w="12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78</w:t>
            </w:r>
          </w:p>
        </w:tc>
        <w:tc>
          <w:tcPr>
            <w:tcW w:w="21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13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00</w:t>
            </w:r>
          </w:p>
        </w:tc>
        <w:tc>
          <w:tcPr>
            <w:tcW w:w="162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11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57-14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22</w:t>
            </w:r>
          </w:p>
        </w:tc>
        <w:tc>
          <w:tcPr>
            <w:tcW w:w="1350" w:type="dxa"/>
            <w:vMerge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</w:p>
        </w:tc>
      </w:tr>
      <w:tr w:rsidR="00D878A9" w:rsidRPr="00E60936" w:rsidTr="007F3C38">
        <w:tc>
          <w:tcPr>
            <w:tcW w:w="1670" w:type="dxa"/>
            <w:vMerge w:val="restart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TCGA</w:t>
            </w:r>
          </w:p>
        </w:tc>
        <w:tc>
          <w:tcPr>
            <w:tcW w:w="180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Low risk</w:t>
            </w:r>
          </w:p>
        </w:tc>
        <w:tc>
          <w:tcPr>
            <w:tcW w:w="12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42</w:t>
            </w:r>
          </w:p>
        </w:tc>
        <w:tc>
          <w:tcPr>
            <w:tcW w:w="21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18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53</w:t>
            </w:r>
          </w:p>
        </w:tc>
        <w:tc>
          <w:tcPr>
            <w:tcW w:w="162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9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61-27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46</w:t>
            </w:r>
          </w:p>
        </w:tc>
        <w:tc>
          <w:tcPr>
            <w:tcW w:w="1350" w:type="dxa"/>
            <w:vMerge w:val="restart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001</w:t>
            </w:r>
          </w:p>
        </w:tc>
      </w:tr>
      <w:tr w:rsidR="00D878A9" w:rsidRPr="00E60936" w:rsidTr="007F3C38">
        <w:tc>
          <w:tcPr>
            <w:tcW w:w="1670" w:type="dxa"/>
            <w:vMerge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</w:p>
        </w:tc>
        <w:tc>
          <w:tcPr>
            <w:tcW w:w="180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High risk</w:t>
            </w:r>
          </w:p>
        </w:tc>
        <w:tc>
          <w:tcPr>
            <w:tcW w:w="12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88</w:t>
            </w:r>
          </w:p>
        </w:tc>
        <w:tc>
          <w:tcPr>
            <w:tcW w:w="216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12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97</w:t>
            </w:r>
          </w:p>
        </w:tc>
        <w:tc>
          <w:tcPr>
            <w:tcW w:w="162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  <w:r w:rsidRPr="00E60936">
              <w:t>10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56-15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38</w:t>
            </w:r>
          </w:p>
        </w:tc>
        <w:tc>
          <w:tcPr>
            <w:tcW w:w="1350" w:type="dxa"/>
            <w:vMerge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</w:pPr>
          </w:p>
        </w:tc>
      </w:tr>
    </w:tbl>
    <w:p w:rsidR="00E60936" w:rsidRDefault="00E60936" w:rsidP="0069285E">
      <w:pPr>
        <w:tabs>
          <w:tab w:val="right" w:pos="360"/>
          <w:tab w:val="left" w:pos="540"/>
        </w:tabs>
        <w:ind w:left="540" w:hanging="540"/>
        <w:rPr>
          <w:b/>
          <w:bCs/>
          <w:vertAlign w:val="superscript"/>
        </w:rPr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  <w:r w:rsidRPr="00E60936">
        <w:rPr>
          <w:b/>
          <w:bCs/>
          <w:vertAlign w:val="superscript"/>
        </w:rPr>
        <w:t>*</w:t>
      </w:r>
      <w:r w:rsidRPr="00E60936">
        <w:t xml:space="preserve">CI- Confidence interval 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sectPr w:rsidR="00D878A9" w:rsidRPr="00E60936" w:rsidSect="00D8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F7" w:rsidRDefault="00B620F7" w:rsidP="007E606F">
      <w:r>
        <w:separator/>
      </w:r>
    </w:p>
  </w:endnote>
  <w:endnote w:type="continuationSeparator" w:id="1">
    <w:p w:rsidR="00B620F7" w:rsidRDefault="00B620F7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D" w:rsidRDefault="004C4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D" w:rsidRDefault="004C42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D" w:rsidRDefault="004C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F7" w:rsidRDefault="00B620F7" w:rsidP="007E606F">
      <w:r>
        <w:separator/>
      </w:r>
    </w:p>
  </w:footnote>
  <w:footnote w:type="continuationSeparator" w:id="1">
    <w:p w:rsidR="00B620F7" w:rsidRDefault="00B620F7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D" w:rsidRDefault="004C4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B32C0E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29D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D" w:rsidRDefault="004C4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26980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C429D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245C6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2C0E"/>
    <w:rsid w:val="00B34B29"/>
    <w:rsid w:val="00B52A24"/>
    <w:rsid w:val="00B54742"/>
    <w:rsid w:val="00B620F7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483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93F19"/>
    <w:rsid w:val="00DA0BA4"/>
    <w:rsid w:val="00DB10DD"/>
    <w:rsid w:val="00DC3C0F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2013-04-06T02:50:00Z</dcterms:created>
  <dcterms:modified xsi:type="dcterms:W3CDTF">2013-04-06T04:19:00Z</dcterms:modified>
</cp:coreProperties>
</file>