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6" w:rsidRPr="006A63F6" w:rsidRDefault="006A63F6" w:rsidP="00A01756">
      <w:pPr>
        <w:spacing w:after="120"/>
        <w:ind w:left="882" w:hanging="882"/>
        <w:rPr>
          <w:b/>
          <w:sz w:val="18"/>
          <w:lang w:val="en-US"/>
        </w:rPr>
      </w:pPr>
      <w:r>
        <w:rPr>
          <w:b/>
          <w:lang w:val="en-US"/>
        </w:rPr>
        <w:t>Table S3</w:t>
      </w:r>
      <w:r w:rsidRPr="008A74AB">
        <w:rPr>
          <w:b/>
          <w:lang w:val="en-US"/>
        </w:rPr>
        <w:t xml:space="preserve">: </w:t>
      </w:r>
      <w:bookmarkStart w:id="0" w:name="_GoBack"/>
      <w:r w:rsidR="004546BE">
        <w:rPr>
          <w:b/>
          <w:lang w:val="en-US"/>
        </w:rPr>
        <w:t>Systematic</w:t>
      </w:r>
      <w:bookmarkEnd w:id="0"/>
      <w:r>
        <w:rPr>
          <w:b/>
          <w:lang w:val="en-US"/>
        </w:rPr>
        <w:t xml:space="preserve"> </w:t>
      </w:r>
      <w:r w:rsidR="00A01756" w:rsidRPr="00A01756">
        <w:rPr>
          <w:b/>
          <w:lang w:val="en-US"/>
        </w:rPr>
        <w:t xml:space="preserve">literature </w:t>
      </w:r>
      <w:r>
        <w:rPr>
          <w:b/>
          <w:lang w:val="en-US"/>
        </w:rPr>
        <w:t>search – search terms and procedures (</w:t>
      </w:r>
      <w:r w:rsidRPr="006A63F6">
        <w:rPr>
          <w:b/>
          <w:lang w:val="en-US"/>
        </w:rPr>
        <w:t>Ovid Research, MEDLINE; April 6th 2010</w:t>
      </w:r>
      <w:r>
        <w:rPr>
          <w:b/>
          <w:lang w:val="en-US"/>
        </w:rPr>
        <w:t>)</w:t>
      </w:r>
    </w:p>
    <w:tbl>
      <w:tblPr>
        <w:tblStyle w:val="Tabellenraster"/>
        <w:tblW w:w="9650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341"/>
        <w:gridCol w:w="8453"/>
        <w:gridCol w:w="856"/>
      </w:tblGrid>
      <w:tr w:rsidR="001C6429" w:rsidRPr="002B0BBF" w:rsidTr="0032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341" w:type="dxa"/>
          </w:tcPr>
          <w:p w:rsidR="001C6429" w:rsidRPr="002B0BBF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</w:p>
        </w:tc>
        <w:tc>
          <w:tcPr>
            <w:tcW w:w="8453" w:type="dxa"/>
          </w:tcPr>
          <w:p w:rsidR="001C6429" w:rsidRPr="002B0BBF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Searches</w:t>
            </w:r>
          </w:p>
        </w:tc>
        <w:tc>
          <w:tcPr>
            <w:tcW w:w="856" w:type="dxa"/>
          </w:tcPr>
          <w:p w:rsidR="001C6429" w:rsidRPr="002B0BBF" w:rsidRDefault="006E5DCA" w:rsidP="001C6429">
            <w:pPr>
              <w:tabs>
                <w:tab w:val="left" w:pos="357"/>
              </w:tabs>
              <w:spacing w:before="60" w:after="60"/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Hits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diagnosis/ or *"diagnostic techniques and procedures"/ or *diagnostic imaging/ or *tomography, x-ray computed/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colonography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, computed tomographic/ or *four-dimensional computed tomography/ or *tomography, spiral computed/ or *magnetic resonance imaging/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angio</w:t>
            </w:r>
            <w:r w:rsidR="002B0BBF"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-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graphy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portography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*radiography, abdominal/ or *radiography, thoracic/ or *mass chest x-ray/ or *ultrasonography/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endosonography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*diagnostic techniques, digestive system/ or *endoscopy, digestive system/ or *endoscopy, gastrointestinal/ or *colonoscopy/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sigmoidoscopy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proctoscopy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*diagnostic techniques, surgical/ or *biopsy/ or *sentinel lymph node biopsy/ or *laparoscopy/ or *cystoscopy/ or *diagnostic tests, routine/ or *disability evaluation/ or *work capacity evaluation/ or *genetic testing/ or *physical examination/ or *early diagnosis/ or *"early detection of cancer"/ or *"laboratory techniques and procedures"/ or *clinical chemistry tests/ or *blood chemical analysis/ or *prognosis/ or *disease-free survival/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347697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exp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Colorectal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Surgery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1406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pathology/ or pathology, clinical/ or pathology, surgical/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32921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Neoplasm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Staging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91413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Carcinoembryonic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Antigen/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6350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microsatelite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instability.mp.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Neoplasm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Staging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4157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*pathology, clinical/ or *pathology, surgical/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3656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*behavior control/ or *combined modality therapy/ or *chemotherapy, adjuvant/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neoadju</w:t>
            </w:r>
            <w:r w:rsidR="002B0BBF"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-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vant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ther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a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py/ or *radiotherapy, adjuvant/ or *antineoplastic protocols/ or *antineoplastic combined chemotherapy protocols/ or *chemotherapy, cancer, regional perfusion/ or *patient care/ or *aftercare/ or *ambulatory care/ or *palliative care/ or *perioperative care/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intraopera</w:t>
            </w:r>
            <w:r w:rsidR="002B0BBF"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-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tive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care/ or *postoperative care/ or *radiotherapy/ or *rehabilitation/ or *surgical procedures, operative/ or *colectomy/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proctocolectomy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, restorative/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enterostomy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cecostomy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*colostomy/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hepatectomy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 or *lymph node excision/ or *surgical procedures, elective/ or *surgical procedures, minimally invasive/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203291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polypectomy.mp.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2627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*interdisciplinary communication/ or *reminder systems/ or *registries/ or *seer program/ or *documentation/ or *classification/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22232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patient care team/ or *patient-centered care/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46691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Oncologic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Nursing/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3561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*Antibodies, Neoplasm/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[Therapeutic Use]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608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*Neoplasm Metastasis/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im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ra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rt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su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th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, us [Immunology, Radiography, Radiotherapy, Surgery, Therapy, U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l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trasonography]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999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*health services administration/ or *"organization and administration"/ or *decision making, organizatio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n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al/ or *hospital administration/ or *management information systems/ or *models, organizational/ or *organizational objectives/ or *risk adjustment/ or *safety management/ or *patient care management/ or *comprehensive health care/ or *patient care planning/ or *critical pathways/ or *"continuity of patient care"/ or *patient-centered care/ or *"delivery of health care"/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98705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patient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perspective.mp.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459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*"patient acceptance of health care"/ or *patient compliance/ or *patient participation/ or *patient sati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s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faction/ or *patient preference/ or *treatment refusal/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53000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pathologic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$ staging.mp.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1181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patient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outcome.mp.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6072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colonoscopy.mp.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17725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proctoscopy.mp.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1749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cancer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surveillance.mp.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862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colon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imaging.mp.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chemotherapy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report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134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pathology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report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2000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operative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report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508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surgical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margin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4403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surgical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therapy.mp.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11204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*"emigrants and immigrants"/ or 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arabs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2340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race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disparity.mp.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*"Quality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of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Life"/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35992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cecal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intubation.mp.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National Cancer Data Base.mp.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patient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survey.mp.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580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patient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questionnaire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1119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psycho-oncology.mp.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188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*age factors/ or *sex factors/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5768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Cancer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Care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Facilities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1637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1 or 3 or 4 or 5 or 6 or 7 or 8 or 19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465357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2 or 9 or 10 or 14 or 15 or 28 or 29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223303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21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22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24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33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40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476079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11 or 12 or 13 or 16 or 25 or 26 or 27 or 34 or 37 or 39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167553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17 or 18 or 20 or 23 or 30 or 31 or 32 or 35 or 36 or 38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104260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cancer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follow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up.mp.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285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44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45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104523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*Patient Care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Planning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9976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43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47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167553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*Patient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Selection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9800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46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49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113835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patient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care management.mp.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1809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48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51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168137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patient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care planning.mp.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29824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risk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adjustment.mp.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2092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continuity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of patient care.mp.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11172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critical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pathway.mp.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406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52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53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54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55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56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191833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proofErr w:type="gram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patient</w:t>
            </w:r>
            <w:proofErr w:type="gram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selection.mp. [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=title, original title, abstract, name of substance word, subject heading word, unique identifier]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45418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50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58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148633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exp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Colorectal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Neoplasms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117386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(colorectal cancer or colorectal carcinoma$ or colorectal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colorectal neoplasm$ or colorectal polyp$ or rectal cancer or rectal carcinoma$ or rectal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rectal neoplasm$ or colonic cancer or colonic carcinoma$ or colonic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colonic neoplasm$ or colon polyp$ or colon cancer or colon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u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Sigmoid carcinoma$ or sigmoid cancer or sigmoid neoplasm$ or sigmoid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bowel cancer or bowel carcinoma$ or bowel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tumo?r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$ or intestine cancer or intestine carcinoma$ or intestine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t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u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mo?r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$).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125772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60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61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131173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*"Quality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of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Health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Care"/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21869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*Medical Audit/ or *Clinical Audit/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5731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*Clinical Competence/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22287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66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*guideline adherence/ or *"outcome assessment (health care)"/ or *"process assessment (health care)"/ or *program evaluation/ or *benchmarking/ or *quality indicators, health care/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33046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67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*Management Audit/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1131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68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*Total Quality Management/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6415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69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(quality assurance or clinical indicator$ or performance indicator$ or quality indicator$ or clinical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utili?ation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 or guideline adherence or process assessment or healthcare quality or clinical audit or medical audit or clin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i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cal competence or program evaluation or benchmarking or delivery of health care or total quality manag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e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 xml:space="preserve">ment or management audit or quality measure$ or quality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criter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$ or quality assessment or performance ind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i</w:t>
            </w: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cator$ or indicator$ or assessment or scale or valid$ or audit or Safety indicator$ or clinical indicator$ or health indicator$ or league table$).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mp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.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1329450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70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*"health care quality, access, and evaluation"/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71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  <w:lang w:val="en-US"/>
              </w:rPr>
              <w:t>63 or 64 or 65 or 66 or 67 or 68 or 69 or 70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134293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72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62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71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3666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73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41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62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71 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1250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74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57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62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71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318</w:t>
            </w:r>
          </w:p>
        </w:tc>
      </w:tr>
      <w:tr w:rsidR="001C6429" w:rsidRPr="002B0BBF" w:rsidTr="0032579F">
        <w:trPr>
          <w:trHeight w:val="170"/>
        </w:trPr>
        <w:tc>
          <w:tcPr>
            <w:tcW w:w="341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center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75</w:t>
            </w:r>
          </w:p>
        </w:tc>
        <w:tc>
          <w:tcPr>
            <w:tcW w:w="8453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59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62 </w:t>
            </w:r>
            <w:proofErr w:type="spellStart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and</w:t>
            </w:r>
            <w:proofErr w:type="spellEnd"/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 xml:space="preserve"> 71</w:t>
            </w:r>
          </w:p>
        </w:tc>
        <w:tc>
          <w:tcPr>
            <w:tcW w:w="856" w:type="dxa"/>
          </w:tcPr>
          <w:p w:rsidR="001C6429" w:rsidRPr="002B0BBF" w:rsidRDefault="001C6429" w:rsidP="002B0BBF">
            <w:pPr>
              <w:tabs>
                <w:tab w:val="left" w:pos="357"/>
              </w:tabs>
              <w:ind w:left="57" w:right="57"/>
              <w:jc w:val="right"/>
              <w:rPr>
                <w:rFonts w:eastAsia="Times New Roman"/>
                <w:color w:val="000000"/>
                <w:kern w:val="20"/>
                <w:sz w:val="18"/>
                <w:szCs w:val="18"/>
              </w:rPr>
            </w:pPr>
            <w:r w:rsidRPr="002B0BBF">
              <w:rPr>
                <w:rFonts w:eastAsia="Times New Roman"/>
                <w:color w:val="000000"/>
                <w:kern w:val="20"/>
                <w:sz w:val="18"/>
                <w:szCs w:val="18"/>
              </w:rPr>
              <w:t>687</w:t>
            </w:r>
          </w:p>
        </w:tc>
      </w:tr>
    </w:tbl>
    <w:p w:rsidR="006A63F6" w:rsidRDefault="006A63F6" w:rsidP="001C6429">
      <w:pPr>
        <w:spacing w:after="260" w:line="260" w:lineRule="atLeast"/>
        <w:rPr>
          <w:rFonts w:ascii="CorporateSBQ-Regular" w:eastAsia="Times New Roman" w:hAnsi="CorporateSBQ-Regular"/>
          <w:color w:val="000000"/>
          <w:kern w:val="20"/>
          <w:lang w:val="en-US" w:eastAsia="de-DE"/>
        </w:rPr>
      </w:pPr>
    </w:p>
    <w:sectPr w:rsidR="006A63F6" w:rsidSect="0032579F">
      <w:pgSz w:w="11906" w:h="16838" w:code="9"/>
      <w:pgMar w:top="1134" w:right="1418" w:bottom="1134" w:left="1418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9" w:rsidRDefault="00960AD9" w:rsidP="001C6429">
      <w:r>
        <w:separator/>
      </w:r>
    </w:p>
  </w:endnote>
  <w:endnote w:type="continuationSeparator" w:id="0">
    <w:p w:rsidR="00960AD9" w:rsidRDefault="00960AD9" w:rsidP="001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BQ-M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9" w:rsidRDefault="00960AD9" w:rsidP="001C6429">
      <w:r>
        <w:separator/>
      </w:r>
    </w:p>
  </w:footnote>
  <w:footnote w:type="continuationSeparator" w:id="0">
    <w:p w:rsidR="00960AD9" w:rsidRDefault="00960AD9" w:rsidP="001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2C"/>
    <w:multiLevelType w:val="multilevel"/>
    <w:tmpl w:val="D8C23BFE"/>
    <w:lvl w:ilvl="0">
      <w:start w:val="1"/>
      <w:numFmt w:val="bullet"/>
      <w:pStyle w:val="Listenabsatz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>
      <w:start w:val="1"/>
      <w:numFmt w:val="bullet"/>
      <w:lvlRestart w:val="0"/>
      <w:pStyle w:val="ListeEbene2"/>
      <w:lvlText w:val="−"/>
      <w:lvlJc w:val="left"/>
      <w:pPr>
        <w:tabs>
          <w:tab w:val="num" w:pos="765"/>
        </w:tabs>
        <w:ind w:left="765" w:hanging="255"/>
      </w:pPr>
      <w:rPr>
        <w:rFonts w:ascii="CorporateSBQ-Regular" w:hAnsi="CorporateSBQ-Regular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275"/>
        </w:tabs>
        <w:ind w:left="1275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−"/>
      <w:lvlJc w:val="left"/>
      <w:pPr>
        <w:tabs>
          <w:tab w:val="num" w:pos="1785"/>
        </w:tabs>
        <w:ind w:left="1785" w:hanging="255"/>
      </w:pPr>
      <w:rPr>
        <w:rFonts w:ascii="CorporateSBQ-Regular" w:hAnsi="CorporateSBQ-Regular" w:hint="default"/>
      </w:rPr>
    </w:lvl>
    <w:lvl w:ilvl="4">
      <w:start w:val="1"/>
      <w:numFmt w:val="bullet"/>
      <w:lvlRestart w:val="0"/>
      <w:lvlText w:val=""/>
      <w:lvlJc w:val="left"/>
      <w:pPr>
        <w:tabs>
          <w:tab w:val="num" w:pos="2295"/>
        </w:tabs>
        <w:ind w:left="2295" w:hanging="255"/>
      </w:pPr>
      <w:rPr>
        <w:rFonts w:ascii="Wingdings" w:hAnsi="Wingdings" w:hint="default"/>
      </w:rPr>
    </w:lvl>
    <w:lvl w:ilvl="5">
      <w:start w:val="1"/>
      <w:numFmt w:val="bullet"/>
      <w:lvlRestart w:val="0"/>
      <w:lvlText w:val="−"/>
      <w:lvlJc w:val="left"/>
      <w:pPr>
        <w:tabs>
          <w:tab w:val="num" w:pos="2805"/>
        </w:tabs>
        <w:ind w:left="2805" w:hanging="255"/>
      </w:pPr>
      <w:rPr>
        <w:rFonts w:ascii="CorporateSBQ-Regular" w:hAnsi="CorporateSBQ-Regular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3315"/>
        </w:tabs>
        <w:ind w:left="3315" w:hanging="255"/>
      </w:pPr>
      <w:rPr>
        <w:rFonts w:ascii="Wingdings" w:hAnsi="Wingdings" w:hint="default"/>
      </w:rPr>
    </w:lvl>
    <w:lvl w:ilvl="7">
      <w:start w:val="1"/>
      <w:numFmt w:val="bullet"/>
      <w:lvlRestart w:val="0"/>
      <w:lvlText w:val="−"/>
      <w:lvlJc w:val="left"/>
      <w:pPr>
        <w:tabs>
          <w:tab w:val="num" w:pos="3825"/>
        </w:tabs>
        <w:ind w:left="3825" w:hanging="255"/>
      </w:pPr>
      <w:rPr>
        <w:rFonts w:ascii="CorporateSBQ-Regular" w:hAnsi="CorporateSBQ-Regula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4335"/>
        </w:tabs>
        <w:ind w:left="4335" w:hanging="255"/>
      </w:pPr>
      <w:rPr>
        <w:rFonts w:ascii="Wingdings" w:hAnsi="Wingdings" w:hint="default"/>
      </w:rPr>
    </w:lvl>
  </w:abstractNum>
  <w:abstractNum w:abstractNumId="1">
    <w:nsid w:val="1A3D39E1"/>
    <w:multiLevelType w:val="hybridMultilevel"/>
    <w:tmpl w:val="470E3770"/>
    <w:lvl w:ilvl="0" w:tplc="014884E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4F9"/>
    <w:multiLevelType w:val="hybridMultilevel"/>
    <w:tmpl w:val="0E6E1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wfrwdau00vw5etv9j5vxz3ewsdvxssxva9&quot;&gt;QI_KRK_2&lt;record-ids&gt;&lt;item&gt;65&lt;/item&gt;&lt;item&gt;159&lt;/item&gt;&lt;item&gt;207&lt;/item&gt;&lt;item&gt;268&lt;/item&gt;&lt;item&gt;273&lt;/item&gt;&lt;item&gt;341&lt;/item&gt;&lt;item&gt;343&lt;/item&gt;&lt;item&gt;479&lt;/item&gt;&lt;item&gt;512&lt;/item&gt;&lt;item&gt;590&lt;/item&gt;&lt;item&gt;671&lt;/item&gt;&lt;item&gt;729&lt;/item&gt;&lt;item&gt;743&lt;/item&gt;&lt;item&gt;871&lt;/item&gt;&lt;item&gt;952&lt;/item&gt;&lt;item&gt;984&lt;/item&gt;&lt;item&gt;1045&lt;/item&gt;&lt;item&gt;1100&lt;/item&gt;&lt;item&gt;1107&lt;/item&gt;&lt;item&gt;1111&lt;/item&gt;&lt;item&gt;1150&lt;/item&gt;&lt;item&gt;1376&lt;/item&gt;&lt;item&gt;1443&lt;/item&gt;&lt;item&gt;1516&lt;/item&gt;&lt;item&gt;1584&lt;/item&gt;&lt;item&gt;1661&lt;/item&gt;&lt;item&gt;1682&lt;/item&gt;&lt;item&gt;1731&lt;/item&gt;&lt;/record-ids&gt;&lt;/item&gt;&lt;/Libraries&gt;"/>
  </w:docVars>
  <w:rsids>
    <w:rsidRoot w:val="001C17E7"/>
    <w:rsid w:val="00042651"/>
    <w:rsid w:val="000B297D"/>
    <w:rsid w:val="001C17E7"/>
    <w:rsid w:val="001C6429"/>
    <w:rsid w:val="00264EF9"/>
    <w:rsid w:val="00270476"/>
    <w:rsid w:val="002B0BBF"/>
    <w:rsid w:val="00305528"/>
    <w:rsid w:val="00305F86"/>
    <w:rsid w:val="003172D4"/>
    <w:rsid w:val="0032579F"/>
    <w:rsid w:val="003309BC"/>
    <w:rsid w:val="00331D87"/>
    <w:rsid w:val="0036324F"/>
    <w:rsid w:val="00412EF4"/>
    <w:rsid w:val="004546BE"/>
    <w:rsid w:val="00470CD9"/>
    <w:rsid w:val="004723D3"/>
    <w:rsid w:val="004D6472"/>
    <w:rsid w:val="005361D3"/>
    <w:rsid w:val="00592153"/>
    <w:rsid w:val="005A618B"/>
    <w:rsid w:val="00696CF0"/>
    <w:rsid w:val="006A63F6"/>
    <w:rsid w:val="006C6AE5"/>
    <w:rsid w:val="006E5DCA"/>
    <w:rsid w:val="0079259D"/>
    <w:rsid w:val="007B7FF8"/>
    <w:rsid w:val="008804F8"/>
    <w:rsid w:val="00956B13"/>
    <w:rsid w:val="00960AD9"/>
    <w:rsid w:val="00992736"/>
    <w:rsid w:val="009C132E"/>
    <w:rsid w:val="009C333C"/>
    <w:rsid w:val="00A01756"/>
    <w:rsid w:val="00A712D5"/>
    <w:rsid w:val="00A72F74"/>
    <w:rsid w:val="00BF3603"/>
    <w:rsid w:val="00C16524"/>
    <w:rsid w:val="00C63173"/>
    <w:rsid w:val="00C948C9"/>
    <w:rsid w:val="00C957D0"/>
    <w:rsid w:val="00DA1168"/>
    <w:rsid w:val="00DC40D8"/>
    <w:rsid w:val="00EC63E6"/>
    <w:rsid w:val="00F7786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52B6A46-DCC8-496B-997F-B5B3F242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1745DE61</Template>
  <TotalTime>0</TotalTime>
  <Pages>2</Pages>
  <Words>960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Ludt, Sabine</dc:creator>
  <cp:lastModifiedBy>Ludt, Sabine</cp:lastModifiedBy>
  <cp:revision>4</cp:revision>
  <dcterms:created xsi:type="dcterms:W3CDTF">2013-03-11T14:37:00Z</dcterms:created>
  <dcterms:modified xsi:type="dcterms:W3CDTF">2013-03-11T15:23:00Z</dcterms:modified>
</cp:coreProperties>
</file>