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1" w:rsidRPr="00CD21D0" w:rsidRDefault="00592AC1" w:rsidP="00592A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CD21D0">
        <w:rPr>
          <w:rFonts w:ascii="Times New Roman" w:hAnsi="Times New Roman" w:cs="Times New Roman"/>
          <w:b/>
          <w:iCs/>
          <w:sz w:val="20"/>
          <w:szCs w:val="20"/>
        </w:rPr>
        <w:t xml:space="preserve">Table </w:t>
      </w:r>
      <w:r w:rsidR="00732ADE"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Pr="00CD21D0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E53CA1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Pr="00CD21D0">
        <w:rPr>
          <w:rFonts w:ascii="Times New Roman" w:hAnsi="Times New Roman" w:cs="Times New Roman"/>
          <w:b/>
          <w:iCs/>
          <w:sz w:val="20"/>
          <w:szCs w:val="20"/>
        </w:rPr>
        <w:t xml:space="preserve"> The Dutch Lipid Network Criteria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80"/>
        <w:gridCol w:w="896"/>
      </w:tblGrid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Criteria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Family history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Point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First-degree relative with known premature (men: &lt;55 years; women: &lt;60 years) coronary and vascular disease, or First-degree relative with known LDLC† above the 95th percentile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First-degree relative with tendinous xanthomata and/or arcus cornealis, or Children aged less than 18 years with LDLC above the 95th percentile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Clinical history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Patient with premature (men: &lt;55 years; women: &lt;60 years) coronary artery disease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Patient with premature (men: &lt;55 years; women: &lt;60 years) cerebral or peripheral vascular disease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Physical examination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Tendinous xanthomata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Arcus cornealis prior to age 45 years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Cholesterol levels (mmol/liter)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LDLC, ≥8.5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LDLC, 6.5–8.4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LDLC, 5.0–6.4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LDLC, 4.0–4.9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b/>
                <w:sz w:val="14"/>
                <w:szCs w:val="14"/>
              </w:rPr>
              <w:t>DNA analysis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2AC1" w:rsidRPr="00CD21D0">
        <w:tc>
          <w:tcPr>
            <w:tcW w:w="6345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Functional mutation in the LDLR gen</w:t>
            </w:r>
            <w:r w:rsidR="00594FB4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1480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Align w:val="center"/>
          </w:tcPr>
          <w:p w:rsidR="00592AC1" w:rsidRPr="00CD21D0" w:rsidRDefault="00592AC1" w:rsidP="009F66A8">
            <w:pPr>
              <w:spacing w:line="480" w:lineRule="auto"/>
              <w:ind w:left="-142"/>
              <w:rPr>
                <w:rFonts w:ascii="Times New Roman" w:hAnsi="Times New Roman" w:cs="Times New Roman"/>
                <w:sz w:val="14"/>
                <w:szCs w:val="14"/>
              </w:rPr>
            </w:pPr>
            <w:r w:rsidRPr="00CD21D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</w:tbl>
    <w:p w:rsidR="00592AC1" w:rsidRPr="00CD21D0" w:rsidRDefault="00592AC1" w:rsidP="00592A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21D0">
        <w:rPr>
          <w:rFonts w:ascii="Times New Roman" w:hAnsi="Times New Roman" w:cs="Times New Roman"/>
          <w:b/>
          <w:iCs/>
          <w:sz w:val="20"/>
          <w:szCs w:val="20"/>
        </w:rPr>
        <w:tab/>
      </w:r>
    </w:p>
    <w:p w:rsidR="00592AC1" w:rsidRPr="00CD21D0" w:rsidRDefault="00592AC1" w:rsidP="00592AC1">
      <w:pPr>
        <w:spacing w:after="0" w:line="480" w:lineRule="auto"/>
        <w:ind w:left="-142"/>
        <w:rPr>
          <w:rFonts w:ascii="Times New Roman" w:hAnsi="Times New Roman" w:cs="Times New Roman"/>
          <w:sz w:val="14"/>
          <w:szCs w:val="14"/>
        </w:rPr>
      </w:pPr>
      <w:r w:rsidRPr="00CD21D0">
        <w:rPr>
          <w:rFonts w:ascii="Times New Roman" w:hAnsi="Times New Roman" w:cs="Times New Roman"/>
          <w:sz w:val="14"/>
          <w:szCs w:val="14"/>
        </w:rPr>
        <w:t>Diagnosis (diagnosis is based on the total number of points obtained)</w:t>
      </w:r>
      <w:r w:rsidRPr="00CD21D0">
        <w:rPr>
          <w:rFonts w:ascii="Times New Roman" w:hAnsi="Times New Roman" w:cs="Times New Roman"/>
          <w:sz w:val="14"/>
          <w:szCs w:val="14"/>
        </w:rPr>
        <w:tab/>
      </w:r>
    </w:p>
    <w:p w:rsidR="00592AC1" w:rsidRPr="00CD21D0" w:rsidRDefault="00592AC1" w:rsidP="00592AC1">
      <w:pPr>
        <w:spacing w:after="0" w:line="480" w:lineRule="auto"/>
        <w:ind w:left="-142"/>
        <w:rPr>
          <w:rFonts w:ascii="Times New Roman" w:hAnsi="Times New Roman" w:cs="Times New Roman"/>
          <w:sz w:val="14"/>
          <w:szCs w:val="14"/>
        </w:rPr>
      </w:pPr>
      <w:r w:rsidRPr="00CD21D0">
        <w:rPr>
          <w:rFonts w:ascii="Times New Roman" w:hAnsi="Times New Roman" w:cs="Times New Roman"/>
          <w:sz w:val="14"/>
          <w:szCs w:val="14"/>
        </w:rPr>
        <w:t>A “definite” FH† diagnosis requires more than 8 points</w:t>
      </w:r>
      <w:r w:rsidRPr="00CD21D0">
        <w:rPr>
          <w:rFonts w:ascii="Times New Roman" w:hAnsi="Times New Roman" w:cs="Times New Roman"/>
          <w:sz w:val="14"/>
          <w:szCs w:val="14"/>
        </w:rPr>
        <w:tab/>
      </w:r>
    </w:p>
    <w:p w:rsidR="00592AC1" w:rsidRPr="00CD21D0" w:rsidRDefault="00592AC1" w:rsidP="00592AC1">
      <w:pPr>
        <w:spacing w:after="0" w:line="480" w:lineRule="auto"/>
        <w:ind w:left="-142"/>
        <w:rPr>
          <w:rFonts w:ascii="Times New Roman" w:hAnsi="Times New Roman" w:cs="Times New Roman"/>
          <w:sz w:val="14"/>
          <w:szCs w:val="14"/>
        </w:rPr>
      </w:pPr>
      <w:r w:rsidRPr="00CD21D0">
        <w:rPr>
          <w:rFonts w:ascii="Times New Roman" w:hAnsi="Times New Roman" w:cs="Times New Roman"/>
          <w:sz w:val="14"/>
          <w:szCs w:val="14"/>
        </w:rPr>
        <w:t>A “probable” FH diagnosis requires 6–8 points</w:t>
      </w:r>
      <w:r w:rsidRPr="00CD21D0">
        <w:rPr>
          <w:rFonts w:ascii="Times New Roman" w:hAnsi="Times New Roman" w:cs="Times New Roman"/>
          <w:sz w:val="14"/>
          <w:szCs w:val="14"/>
        </w:rPr>
        <w:tab/>
      </w:r>
    </w:p>
    <w:p w:rsidR="00592AC1" w:rsidRPr="00CD21D0" w:rsidRDefault="00592AC1" w:rsidP="00592AC1">
      <w:pPr>
        <w:spacing w:after="0" w:line="480" w:lineRule="auto"/>
        <w:ind w:left="-142"/>
        <w:rPr>
          <w:rFonts w:ascii="Times New Roman" w:hAnsi="Times New Roman" w:cs="Times New Roman"/>
          <w:sz w:val="14"/>
          <w:szCs w:val="14"/>
        </w:rPr>
      </w:pPr>
      <w:r w:rsidRPr="00CD21D0">
        <w:rPr>
          <w:rFonts w:ascii="Times New Roman" w:hAnsi="Times New Roman" w:cs="Times New Roman"/>
          <w:sz w:val="14"/>
          <w:szCs w:val="14"/>
        </w:rPr>
        <w:t>A “possible” FH diagnosis requires 3–5 points</w:t>
      </w:r>
    </w:p>
    <w:p w:rsidR="00732ADE" w:rsidRPr="00CD21D0" w:rsidRDefault="00732ADE" w:rsidP="00592AC1">
      <w:pPr>
        <w:rPr>
          <w:rFonts w:ascii="Times New Roman" w:hAnsi="Times New Roman" w:cs="Times New Roman"/>
          <w:lang w:val="en-US"/>
        </w:rPr>
      </w:pPr>
    </w:p>
    <w:sectPr w:rsidR="00732ADE" w:rsidRPr="00CD21D0" w:rsidSect="0081045C">
      <w:footerReference w:type="default" r:id="rId7"/>
      <w:pgSz w:w="11907" w:h="16839" w:code="9"/>
      <w:pgMar w:top="1701" w:right="1701" w:bottom="1701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65" w:rsidRDefault="006A6D65" w:rsidP="00D22CFB">
      <w:pPr>
        <w:spacing w:after="0" w:line="240" w:lineRule="auto"/>
      </w:pPr>
      <w:r>
        <w:separator/>
      </w:r>
    </w:p>
  </w:endnote>
  <w:endnote w:type="continuationSeparator" w:id="0">
    <w:p w:rsidR="006A6D65" w:rsidRDefault="006A6D65" w:rsidP="00D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1E" w:rsidRDefault="00BA38C0">
    <w:pPr>
      <w:pStyle w:val="Footer"/>
      <w:jc w:val="right"/>
    </w:pPr>
  </w:p>
  <w:p w:rsidR="000E3C1E" w:rsidRDefault="00BA3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65" w:rsidRDefault="006A6D65" w:rsidP="00D22CFB">
      <w:pPr>
        <w:spacing w:after="0" w:line="240" w:lineRule="auto"/>
      </w:pPr>
      <w:r>
        <w:separator/>
      </w:r>
    </w:p>
  </w:footnote>
  <w:footnote w:type="continuationSeparator" w:id="0">
    <w:p w:rsidR="006A6D65" w:rsidRDefault="006A6D65" w:rsidP="00D2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C1"/>
    <w:rsid w:val="000610DE"/>
    <w:rsid w:val="00072D7E"/>
    <w:rsid w:val="000C5579"/>
    <w:rsid w:val="00157C0D"/>
    <w:rsid w:val="00163CF7"/>
    <w:rsid w:val="001B7E63"/>
    <w:rsid w:val="002B1E2B"/>
    <w:rsid w:val="00332C26"/>
    <w:rsid w:val="003525E4"/>
    <w:rsid w:val="00387B2F"/>
    <w:rsid w:val="003F6E8B"/>
    <w:rsid w:val="00410A1A"/>
    <w:rsid w:val="00416985"/>
    <w:rsid w:val="00423D60"/>
    <w:rsid w:val="004256C1"/>
    <w:rsid w:val="00435A9B"/>
    <w:rsid w:val="004668FB"/>
    <w:rsid w:val="004910AA"/>
    <w:rsid w:val="0049469C"/>
    <w:rsid w:val="00531243"/>
    <w:rsid w:val="0053429C"/>
    <w:rsid w:val="00592AC1"/>
    <w:rsid w:val="00594FB4"/>
    <w:rsid w:val="00640529"/>
    <w:rsid w:val="00654EB5"/>
    <w:rsid w:val="006A6D65"/>
    <w:rsid w:val="006C3909"/>
    <w:rsid w:val="00732ADE"/>
    <w:rsid w:val="007544B8"/>
    <w:rsid w:val="00786CE1"/>
    <w:rsid w:val="007A100D"/>
    <w:rsid w:val="007B596E"/>
    <w:rsid w:val="007C261B"/>
    <w:rsid w:val="008A23C9"/>
    <w:rsid w:val="008C31A6"/>
    <w:rsid w:val="008D795E"/>
    <w:rsid w:val="00951955"/>
    <w:rsid w:val="00956EE9"/>
    <w:rsid w:val="0095723B"/>
    <w:rsid w:val="00987F83"/>
    <w:rsid w:val="00993267"/>
    <w:rsid w:val="009B6035"/>
    <w:rsid w:val="009D41ED"/>
    <w:rsid w:val="009D4795"/>
    <w:rsid w:val="009D542E"/>
    <w:rsid w:val="009F66A8"/>
    <w:rsid w:val="00A70889"/>
    <w:rsid w:val="00A94E39"/>
    <w:rsid w:val="00B54526"/>
    <w:rsid w:val="00B63DFE"/>
    <w:rsid w:val="00B66C2D"/>
    <w:rsid w:val="00B7152D"/>
    <w:rsid w:val="00BA38C0"/>
    <w:rsid w:val="00BA3CBD"/>
    <w:rsid w:val="00BB0E13"/>
    <w:rsid w:val="00C83F34"/>
    <w:rsid w:val="00CB0177"/>
    <w:rsid w:val="00CD21D0"/>
    <w:rsid w:val="00CF44D0"/>
    <w:rsid w:val="00CF7993"/>
    <w:rsid w:val="00D22CFB"/>
    <w:rsid w:val="00D32765"/>
    <w:rsid w:val="00D45571"/>
    <w:rsid w:val="00D658B1"/>
    <w:rsid w:val="00D73FF3"/>
    <w:rsid w:val="00D939BF"/>
    <w:rsid w:val="00DA4165"/>
    <w:rsid w:val="00DB319F"/>
    <w:rsid w:val="00DE5BDC"/>
    <w:rsid w:val="00E04235"/>
    <w:rsid w:val="00E53CA1"/>
    <w:rsid w:val="00E75310"/>
    <w:rsid w:val="00E77427"/>
    <w:rsid w:val="00ED7843"/>
    <w:rsid w:val="00F0053B"/>
    <w:rsid w:val="00F266E1"/>
    <w:rsid w:val="00F37C4C"/>
    <w:rsid w:val="00F54FE2"/>
    <w:rsid w:val="00F611F7"/>
    <w:rsid w:val="00F819AD"/>
    <w:rsid w:val="00FA6452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1"/>
    <w:rPr>
      <w:rFonts w:ascii="Calibri" w:eastAsia="Calibri" w:hAnsi="Calibri" w:cs="Calibri"/>
      <w:lang w:val="en-MY"/>
    </w:rPr>
  </w:style>
  <w:style w:type="paragraph" w:styleId="Heading1">
    <w:name w:val="heading 1"/>
    <w:basedOn w:val="Normal"/>
    <w:link w:val="Heading1Char"/>
    <w:uiPriority w:val="9"/>
    <w:qFormat/>
    <w:rsid w:val="00DB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B319F"/>
    <w:rPr>
      <w:b/>
      <w:bCs/>
    </w:rPr>
  </w:style>
  <w:style w:type="paragraph" w:styleId="NoSpacing">
    <w:name w:val="No Spacing"/>
    <w:uiPriority w:val="1"/>
    <w:qFormat/>
    <w:rsid w:val="00DB319F"/>
    <w:pPr>
      <w:spacing w:after="0" w:line="240" w:lineRule="auto"/>
    </w:pPr>
  </w:style>
  <w:style w:type="table" w:styleId="TableGrid">
    <w:name w:val="Table Grid"/>
    <w:basedOn w:val="TableNormal"/>
    <w:uiPriority w:val="59"/>
    <w:rsid w:val="00592AC1"/>
    <w:pPr>
      <w:spacing w:after="0" w:line="240" w:lineRule="auto"/>
    </w:pPr>
    <w:rPr>
      <w:rFonts w:ascii="Calibri" w:eastAsia="Calibri" w:hAnsi="Calibri" w:cs="Calibri"/>
      <w:sz w:val="20"/>
      <w:szCs w:val="20"/>
      <w:lang w:val="en-MY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2AC1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2AC1"/>
    <w:rPr>
      <w:rFonts w:ascii="Calibri" w:eastAsia="Calibri" w:hAnsi="Calibri" w:cs="Times New Roman"/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1"/>
    <w:rPr>
      <w:rFonts w:ascii="Tahoma" w:eastAsia="Calibri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semiHidden/>
    <w:unhideWhenUsed/>
    <w:rsid w:val="003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2F"/>
    <w:rPr>
      <w:rFonts w:ascii="Calibri" w:eastAsia="Calibri" w:hAnsi="Calibri" w:cs="Calibri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Kathleen Luschek</cp:lastModifiedBy>
  <cp:revision>2</cp:revision>
  <dcterms:created xsi:type="dcterms:W3CDTF">2013-03-19T18:29:00Z</dcterms:created>
  <dcterms:modified xsi:type="dcterms:W3CDTF">2013-03-19T18:29:00Z</dcterms:modified>
</cp:coreProperties>
</file>