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85" w:rsidRDefault="00BE3885" w:rsidP="00BE3885">
      <w:pPr>
        <w:rPr>
          <w:rFonts w:ascii="Arial" w:hAnsi="Arial" w:cs="Arial" w:hint="eastAsia"/>
          <w:b/>
          <w:bCs/>
          <w:color w:val="000000"/>
          <w:sz w:val="24"/>
          <w:szCs w:val="24"/>
          <w:shd w:val="clear" w:color="auto" w:fill="FFFFFF"/>
        </w:rPr>
      </w:pPr>
      <w:proofErr w:type="gramStart"/>
      <w:r w:rsidRPr="00A23F84">
        <w:rPr>
          <w:rFonts w:ascii="Arial" w:hAnsi="Arial" w:cs="Arial"/>
          <w:b/>
          <w:bCs/>
          <w:color w:val="000000"/>
          <w:sz w:val="24"/>
          <w:szCs w:val="24"/>
          <w:shd w:val="clear" w:color="auto" w:fill="FFFFFF"/>
        </w:rPr>
        <w:t>meta-analysis</w:t>
      </w:r>
      <w:proofErr w:type="gramEnd"/>
      <w:r w:rsidRPr="00A23F84">
        <w:rPr>
          <w:rFonts w:ascii="Arial" w:hAnsi="Arial" w:cs="Arial"/>
          <w:b/>
          <w:bCs/>
          <w:color w:val="000000"/>
          <w:sz w:val="24"/>
          <w:szCs w:val="24"/>
          <w:shd w:val="clear" w:color="auto" w:fill="FFFFFF"/>
        </w:rPr>
        <w:t xml:space="preserve"> protocol</w:t>
      </w:r>
      <w:r w:rsidR="00C44EC1" w:rsidRPr="00A23F84">
        <w:rPr>
          <w:rFonts w:ascii="Arial" w:hAnsi="Arial" w:cs="Arial"/>
          <w:b/>
          <w:bCs/>
          <w:color w:val="000000"/>
          <w:sz w:val="24"/>
          <w:szCs w:val="24"/>
          <w:shd w:val="clear" w:color="auto" w:fill="FFFFFF"/>
        </w:rPr>
        <w:t xml:space="preserve"> for:</w:t>
      </w:r>
    </w:p>
    <w:p w:rsidR="00A23F84" w:rsidRPr="00A23F84" w:rsidRDefault="00A23F84" w:rsidP="00BE3885">
      <w:pPr>
        <w:rPr>
          <w:rFonts w:ascii="Arial" w:hAnsi="Arial" w:cs="Arial"/>
          <w:b/>
          <w:bCs/>
          <w:color w:val="000000"/>
          <w:sz w:val="24"/>
          <w:szCs w:val="24"/>
          <w:shd w:val="clear" w:color="auto" w:fill="FFFFFF"/>
        </w:rPr>
      </w:pPr>
    </w:p>
    <w:p w:rsidR="00C44EC1" w:rsidRPr="001B7CFF" w:rsidRDefault="00C44EC1" w:rsidP="00C44EC1">
      <w:pPr>
        <w:rPr>
          <w:rFonts w:ascii="Arial" w:hAnsi="Arial" w:cs="Arial"/>
          <w:b/>
          <w:bCs/>
          <w:sz w:val="24"/>
          <w:szCs w:val="24"/>
        </w:rPr>
      </w:pPr>
      <w:bookmarkStart w:id="0" w:name="OLE_LINK27"/>
      <w:bookmarkStart w:id="1" w:name="OLE_LINK28"/>
      <w:r w:rsidRPr="001B7CFF">
        <w:rPr>
          <w:rFonts w:ascii="Arial" w:hAnsi="Arial" w:cs="Arial"/>
          <w:b/>
          <w:bCs/>
          <w:sz w:val="24"/>
          <w:szCs w:val="24"/>
        </w:rPr>
        <w:t xml:space="preserve">Gefitinib </w:t>
      </w:r>
      <w:r w:rsidR="00FD64DD" w:rsidRPr="001B7CFF">
        <w:rPr>
          <w:rFonts w:ascii="Arial" w:hAnsi="Arial" w:cs="Arial"/>
          <w:b/>
          <w:bCs/>
          <w:sz w:val="24"/>
          <w:szCs w:val="24"/>
        </w:rPr>
        <w:t>or</w:t>
      </w:r>
      <w:r w:rsidR="0081402E">
        <w:rPr>
          <w:rFonts w:ascii="Arial" w:hAnsi="Arial" w:cs="Arial"/>
          <w:b/>
          <w:bCs/>
          <w:sz w:val="24"/>
          <w:szCs w:val="24"/>
        </w:rPr>
        <w:t xml:space="preserve"> erlotinib as maintenance therapy in patients with advanced stage non-small cell lung cancer:  A </w:t>
      </w:r>
      <w:r w:rsidR="008E1CC7">
        <w:rPr>
          <w:rFonts w:ascii="Arial" w:hAnsi="Arial" w:cs="Arial" w:hint="eastAsia"/>
          <w:b/>
          <w:bCs/>
          <w:sz w:val="24"/>
          <w:szCs w:val="24"/>
        </w:rPr>
        <w:t>systematic review.</w:t>
      </w:r>
    </w:p>
    <w:bookmarkEnd w:id="0"/>
    <w:bookmarkEnd w:id="1"/>
    <w:p w:rsidR="00BE3885" w:rsidRPr="00DA0ABD" w:rsidRDefault="00BE3885" w:rsidP="00BE3885">
      <w:pPr>
        <w:rPr>
          <w:rFonts w:ascii="Arial" w:hAnsi="Arial"/>
        </w:rPr>
      </w:pPr>
    </w:p>
    <w:p w:rsidR="00C44EC1" w:rsidRPr="001B7CFF" w:rsidRDefault="00C44EC1" w:rsidP="00BE3885">
      <w:pPr>
        <w:rPr>
          <w:rFonts w:ascii="Arial" w:hAnsi="Arial"/>
        </w:rPr>
      </w:pPr>
    </w:p>
    <w:p w:rsidR="00BE3885" w:rsidRDefault="00BE3885" w:rsidP="00BE3885">
      <w:pPr>
        <w:pStyle w:val="a5"/>
        <w:shd w:val="clear" w:color="auto" w:fill="FFFFFF"/>
        <w:spacing w:before="0" w:beforeAutospacing="0" w:after="90" w:afterAutospacing="0"/>
        <w:rPr>
          <w:rFonts w:ascii="Arial" w:hAnsi="Arial" w:cs="Arial" w:hint="eastAsia"/>
          <w:b/>
          <w:bCs/>
          <w:color w:val="000000"/>
          <w:sz w:val="21"/>
          <w:szCs w:val="21"/>
          <w:lang w:val="en-GB"/>
        </w:rPr>
      </w:pPr>
      <w:r w:rsidRPr="008E1CC7">
        <w:rPr>
          <w:rFonts w:ascii="Arial" w:hAnsi="Arial" w:cs="Arial"/>
          <w:b/>
          <w:bCs/>
          <w:color w:val="000000"/>
          <w:sz w:val="21"/>
          <w:szCs w:val="21"/>
          <w:lang w:val="en-GB"/>
        </w:rPr>
        <w:t>Objectives:</w:t>
      </w:r>
    </w:p>
    <w:p w:rsidR="00860955" w:rsidRPr="008E1CC7" w:rsidRDefault="00860955" w:rsidP="00BE3885">
      <w:pPr>
        <w:pStyle w:val="a5"/>
        <w:shd w:val="clear" w:color="auto" w:fill="FFFFFF"/>
        <w:spacing w:before="0" w:beforeAutospacing="0" w:after="90" w:afterAutospacing="0"/>
        <w:rPr>
          <w:rFonts w:ascii="Arial" w:hAnsi="Arial" w:cs="Arial"/>
          <w:b/>
          <w:bCs/>
          <w:color w:val="000000"/>
          <w:sz w:val="21"/>
          <w:szCs w:val="21"/>
          <w:lang w:val="en-GB"/>
        </w:rPr>
      </w:pPr>
    </w:p>
    <w:p w:rsidR="000302DF" w:rsidRPr="008E1CC7" w:rsidRDefault="0081402E" w:rsidP="00A23F84">
      <w:pPr>
        <w:rPr>
          <w:rFonts w:ascii="Arial" w:hAnsi="Arial" w:cs="Arial"/>
          <w:szCs w:val="21"/>
        </w:rPr>
      </w:pPr>
      <w:r w:rsidRPr="008E1CC7">
        <w:rPr>
          <w:rFonts w:ascii="Arial" w:hAnsi="Arial" w:cs="Arial"/>
          <w:szCs w:val="21"/>
        </w:rPr>
        <w:t xml:space="preserve">Maintenance therapy refers to the use of systemic therapy, either by continuing the primary drug or switch to a new one, in patients who get objective response or stable disease after first line chemotherapy. Recently, EGFR TKIs have aroused great attention in maintenance therapy. </w:t>
      </w:r>
      <w:proofErr w:type="spellStart"/>
      <w:r w:rsidRPr="008E1CC7">
        <w:rPr>
          <w:rFonts w:ascii="Arial" w:hAnsi="Arial" w:cs="Arial"/>
          <w:szCs w:val="21"/>
        </w:rPr>
        <w:t>Behera</w:t>
      </w:r>
      <w:proofErr w:type="spellEnd"/>
      <w:r w:rsidRPr="008E1CC7">
        <w:rPr>
          <w:rFonts w:ascii="Arial" w:hAnsi="Arial" w:cs="Arial"/>
          <w:szCs w:val="21"/>
        </w:rPr>
        <w:t xml:space="preserve"> et al carried out a meta-analysis focusing on the role of single agent maintenance therapy in patients with advanced non-small cell lung cancer. They included twelve studies (5 meeting abstracts, 7 full manuscripts) and showed that single agent maintenance therapy provided superior OS (HR 0.86, 95%CI 0.80-0.92) and PFS (HR 0.62, 95%CI 0.57-0.67). However, only 4 studies (2 meeting abstracts and 2 full manuscripts) about EGFR TKIs were included. Furthermore, because they emphasized the role of switch and continuation, the outcomes of EGFR TKIs maintenance were not analyzed in detail. </w:t>
      </w:r>
    </w:p>
    <w:p w:rsidR="000302DF" w:rsidRPr="008E1CC7" w:rsidRDefault="0081402E" w:rsidP="008E1CC7">
      <w:pPr>
        <w:ind w:firstLineChars="200" w:firstLine="420"/>
        <w:rPr>
          <w:rFonts w:ascii="Arial" w:hAnsi="Arial" w:cs="Arial"/>
          <w:szCs w:val="21"/>
        </w:rPr>
      </w:pPr>
      <w:r w:rsidRPr="008E1CC7">
        <w:rPr>
          <w:rFonts w:ascii="Arial" w:hAnsi="Arial" w:cs="Arial"/>
          <w:szCs w:val="21"/>
        </w:rPr>
        <w:t xml:space="preserve">The objective of this </w:t>
      </w:r>
      <w:r w:rsidR="00CE5465" w:rsidRPr="00CE5465">
        <w:rPr>
          <w:rFonts w:ascii="Arial" w:hAnsi="Arial" w:cs="Arial"/>
          <w:szCs w:val="21"/>
        </w:rPr>
        <w:t>systematic review</w:t>
      </w:r>
      <w:r w:rsidRPr="008E1CC7">
        <w:rPr>
          <w:rFonts w:ascii="Arial" w:hAnsi="Arial" w:cs="Arial"/>
          <w:szCs w:val="21"/>
        </w:rPr>
        <w:t xml:space="preserve"> is to determine the role of maintenance EGFR TKIs (gefitinib or erlotinib) in patients with advanced NSCLC and to explore which subgroups of patients who will benefit from EGFR TKIs maintenance.   </w:t>
      </w:r>
    </w:p>
    <w:p w:rsidR="00C44EC1" w:rsidRPr="008E1CC7" w:rsidRDefault="00C44EC1" w:rsidP="00BE3885">
      <w:pPr>
        <w:pStyle w:val="a5"/>
        <w:shd w:val="clear" w:color="auto" w:fill="FFFFFF"/>
        <w:spacing w:before="0" w:beforeAutospacing="0" w:after="90" w:afterAutospacing="0"/>
        <w:rPr>
          <w:rFonts w:ascii="Arial" w:hAnsi="Arial" w:cs="Arial"/>
          <w:color w:val="000000"/>
          <w:sz w:val="21"/>
          <w:szCs w:val="21"/>
        </w:rPr>
      </w:pPr>
    </w:p>
    <w:p w:rsidR="00A23F84" w:rsidRDefault="0081402E" w:rsidP="00BE3885">
      <w:pPr>
        <w:pStyle w:val="a5"/>
        <w:shd w:val="clear" w:color="auto" w:fill="FFFFFF"/>
        <w:spacing w:before="0" w:beforeAutospacing="0" w:after="90" w:afterAutospacing="0"/>
        <w:rPr>
          <w:rFonts w:ascii="Arial" w:hAnsi="Arial" w:cs="Arial" w:hint="eastAsia"/>
          <w:b/>
          <w:bCs/>
          <w:color w:val="000000"/>
          <w:sz w:val="21"/>
          <w:szCs w:val="21"/>
          <w:lang w:val="en-GB"/>
        </w:rPr>
      </w:pPr>
      <w:r w:rsidRPr="008E1CC7">
        <w:rPr>
          <w:rFonts w:ascii="Arial" w:hAnsi="Arial" w:cs="Arial"/>
          <w:b/>
          <w:bCs/>
          <w:color w:val="000000"/>
          <w:sz w:val="21"/>
          <w:szCs w:val="21"/>
          <w:lang w:val="en-GB"/>
        </w:rPr>
        <w:t>Methods: Criteria for considering studies for this review</w:t>
      </w:r>
    </w:p>
    <w:p w:rsidR="00BE3885" w:rsidRPr="008E1CC7" w:rsidRDefault="00BE3885" w:rsidP="00BE3885">
      <w:pPr>
        <w:pStyle w:val="a5"/>
        <w:shd w:val="clear" w:color="auto" w:fill="FFFFFF"/>
        <w:spacing w:before="0" w:beforeAutospacing="0" w:after="90" w:afterAutospacing="0"/>
        <w:rPr>
          <w:rFonts w:ascii="Arial" w:hAnsi="Arial" w:cs="Arial"/>
          <w:b/>
          <w:bCs/>
          <w:color w:val="000000"/>
          <w:sz w:val="21"/>
          <w:szCs w:val="21"/>
          <w:lang w:val="en-GB"/>
        </w:rPr>
      </w:pPr>
    </w:p>
    <w:p w:rsidR="006D7AD4" w:rsidRDefault="0081402E" w:rsidP="00BE3885">
      <w:pPr>
        <w:pStyle w:val="a5"/>
        <w:shd w:val="clear" w:color="auto" w:fill="FFFFFF"/>
        <w:spacing w:before="0" w:beforeAutospacing="0" w:after="90" w:afterAutospacing="0"/>
        <w:rPr>
          <w:rFonts w:ascii="Arial" w:eastAsiaTheme="minorEastAsia" w:hAnsi="Arial" w:cs="Arial" w:hint="eastAsia"/>
          <w:kern w:val="2"/>
          <w:sz w:val="21"/>
          <w:szCs w:val="21"/>
        </w:rPr>
      </w:pPr>
      <w:r w:rsidRPr="008E1CC7">
        <w:rPr>
          <w:rFonts w:ascii="Arial" w:hAnsi="Arial" w:cs="Arial"/>
          <w:b/>
          <w:color w:val="000000"/>
          <w:sz w:val="21"/>
          <w:szCs w:val="21"/>
          <w:lang w:val="en-GB"/>
        </w:rPr>
        <w:t>Eligibility criteria for trial design:</w:t>
      </w:r>
      <w:r w:rsidRPr="008E1CC7">
        <w:rPr>
          <w:rFonts w:ascii="Arial" w:eastAsiaTheme="minorEastAsia" w:hAnsi="Arial" w:cs="Arial"/>
          <w:b/>
          <w:kern w:val="2"/>
          <w:sz w:val="21"/>
          <w:szCs w:val="21"/>
        </w:rPr>
        <w:t xml:space="preserve"> </w:t>
      </w:r>
      <w:r w:rsidRPr="008E1CC7">
        <w:rPr>
          <w:rFonts w:ascii="Arial" w:eastAsiaTheme="minorEastAsia" w:hAnsi="Arial" w:cs="Arial"/>
          <w:kern w:val="2"/>
          <w:sz w:val="21"/>
          <w:szCs w:val="21"/>
        </w:rPr>
        <w:t xml:space="preserve">Peer reviewed articles or abstracts of randomized controlled phase </w:t>
      </w:r>
      <w:r w:rsidRPr="008E1CC7">
        <w:rPr>
          <w:rFonts w:ascii="Arial" w:eastAsiaTheme="minorEastAsia" w:hAnsi="Noteworthy Light" w:cs="Arial"/>
          <w:kern w:val="2"/>
          <w:sz w:val="21"/>
          <w:szCs w:val="21"/>
        </w:rPr>
        <w:t>Ⅲ</w:t>
      </w:r>
      <w:r w:rsidRPr="008E1CC7">
        <w:rPr>
          <w:rFonts w:ascii="Arial" w:eastAsiaTheme="minorEastAsia" w:hAnsi="Arial" w:cs="Arial"/>
          <w:kern w:val="2"/>
          <w:sz w:val="21"/>
          <w:szCs w:val="21"/>
        </w:rPr>
        <w:t xml:space="preserve"> trials reporting the efficacy of gefitinib or erlotinib as maintenance therapy immediately after the first line chemotherapy in stage </w:t>
      </w:r>
      <w:r w:rsidRPr="008E1CC7">
        <w:rPr>
          <w:rFonts w:ascii="Arial" w:eastAsiaTheme="minorEastAsia" w:hAnsi="Noteworthy Light" w:cs="Arial"/>
          <w:kern w:val="2"/>
          <w:sz w:val="21"/>
          <w:szCs w:val="21"/>
        </w:rPr>
        <w:t>Ⅲ</w:t>
      </w:r>
      <w:r w:rsidRPr="008E1CC7">
        <w:rPr>
          <w:rFonts w:ascii="Arial" w:eastAsiaTheme="minorEastAsia" w:hAnsi="Arial" w:cs="Arial"/>
          <w:kern w:val="2"/>
          <w:sz w:val="21"/>
          <w:szCs w:val="21"/>
        </w:rPr>
        <w:t>B/</w:t>
      </w:r>
      <w:r w:rsidRPr="008E1CC7">
        <w:rPr>
          <w:rFonts w:ascii="Arial" w:eastAsiaTheme="minorEastAsia" w:hAnsi="Noteworthy Light" w:cs="Arial"/>
          <w:kern w:val="2"/>
          <w:sz w:val="21"/>
          <w:szCs w:val="21"/>
        </w:rPr>
        <w:t>Ⅳ</w:t>
      </w:r>
      <w:r w:rsidRPr="008E1CC7">
        <w:rPr>
          <w:rFonts w:ascii="Arial" w:eastAsiaTheme="minorEastAsia" w:hAnsi="Arial" w:cs="Arial"/>
          <w:kern w:val="2"/>
          <w:sz w:val="21"/>
          <w:szCs w:val="21"/>
        </w:rPr>
        <w:t xml:space="preserve"> NSCLC were considered. Randomization should be done just after the induction treatment, before the maintenance period because then the effect of the maintenance treatment would be </w:t>
      </w:r>
      <w:proofErr w:type="gramStart"/>
      <w:r w:rsidRPr="008E1CC7">
        <w:rPr>
          <w:rFonts w:ascii="Arial" w:eastAsiaTheme="minorEastAsia" w:hAnsi="Arial" w:cs="Arial"/>
          <w:kern w:val="2"/>
          <w:sz w:val="21"/>
          <w:szCs w:val="21"/>
        </w:rPr>
        <w:t>more clear</w:t>
      </w:r>
      <w:proofErr w:type="gramEnd"/>
      <w:r w:rsidRPr="008E1CC7">
        <w:rPr>
          <w:rFonts w:ascii="Arial" w:eastAsiaTheme="minorEastAsia" w:hAnsi="Arial" w:cs="Arial"/>
          <w:kern w:val="2"/>
          <w:sz w:val="21"/>
          <w:szCs w:val="21"/>
        </w:rPr>
        <w:t>, excluding the possible interference of differ</w:t>
      </w:r>
      <w:r w:rsidR="00DA0ABD">
        <w:rPr>
          <w:rFonts w:ascii="Arial" w:eastAsiaTheme="minorEastAsia" w:hAnsi="Arial" w:cs="Arial" w:hint="eastAsia"/>
          <w:kern w:val="2"/>
          <w:sz w:val="21"/>
          <w:szCs w:val="21"/>
        </w:rPr>
        <w:t>ent</w:t>
      </w:r>
      <w:r w:rsidRPr="008E1CC7">
        <w:rPr>
          <w:rFonts w:ascii="Arial" w:eastAsiaTheme="minorEastAsia" w:hAnsi="Arial" w:cs="Arial"/>
          <w:kern w:val="2"/>
          <w:sz w:val="21"/>
          <w:szCs w:val="21"/>
        </w:rPr>
        <w:t xml:space="preserve"> induction regimes. Both blinded and open label trials were eligible. There was no minimum follow-up time.</w:t>
      </w:r>
    </w:p>
    <w:p w:rsidR="00A23F84" w:rsidRPr="008E1CC7" w:rsidRDefault="00A23F84" w:rsidP="00BE3885">
      <w:pPr>
        <w:pStyle w:val="a5"/>
        <w:shd w:val="clear" w:color="auto" w:fill="FFFFFF"/>
        <w:spacing w:before="0" w:beforeAutospacing="0" w:after="90" w:afterAutospacing="0"/>
        <w:rPr>
          <w:rFonts w:ascii="Arial" w:eastAsiaTheme="minorEastAsia" w:hAnsi="Arial" w:cs="Arial"/>
          <w:kern w:val="2"/>
          <w:sz w:val="21"/>
          <w:szCs w:val="21"/>
        </w:rPr>
      </w:pPr>
    </w:p>
    <w:p w:rsidR="00C44EC1" w:rsidRDefault="000E6ED5" w:rsidP="00BE3885">
      <w:pPr>
        <w:pStyle w:val="a5"/>
        <w:shd w:val="clear" w:color="auto" w:fill="FFFFFF"/>
        <w:spacing w:before="0" w:beforeAutospacing="0" w:after="90" w:afterAutospacing="0"/>
        <w:rPr>
          <w:rFonts w:ascii="Arial" w:eastAsiaTheme="minorEastAsia" w:hAnsi="Arial" w:cs="Arial" w:hint="eastAsia"/>
          <w:kern w:val="2"/>
          <w:sz w:val="21"/>
          <w:szCs w:val="21"/>
        </w:rPr>
      </w:pPr>
      <w:r w:rsidRPr="008E1CC7">
        <w:rPr>
          <w:rFonts w:ascii="Arial" w:hAnsi="Arial" w:cs="Arial"/>
          <w:b/>
          <w:color w:val="000000"/>
          <w:sz w:val="21"/>
          <w:szCs w:val="21"/>
          <w:lang w:val="en-GB"/>
        </w:rPr>
        <w:t xml:space="preserve">Eligibility criteria for the patient population: </w:t>
      </w:r>
      <w:r w:rsidR="0081402E" w:rsidRPr="008E1CC7">
        <w:rPr>
          <w:rFonts w:ascii="Arial" w:eastAsiaTheme="minorEastAsia" w:hAnsi="Arial" w:cs="Arial"/>
          <w:kern w:val="2"/>
          <w:sz w:val="21"/>
          <w:szCs w:val="21"/>
        </w:rPr>
        <w:t xml:space="preserve">Patients should be pathologically or </w:t>
      </w:r>
      <w:proofErr w:type="spellStart"/>
      <w:r w:rsidR="0081402E" w:rsidRPr="008E1CC7">
        <w:rPr>
          <w:rFonts w:ascii="Arial" w:eastAsiaTheme="minorEastAsia" w:hAnsi="Arial" w:cs="Arial"/>
          <w:kern w:val="2"/>
          <w:sz w:val="21"/>
          <w:szCs w:val="21"/>
        </w:rPr>
        <w:t>cytologically</w:t>
      </w:r>
      <w:proofErr w:type="spellEnd"/>
      <w:r w:rsidR="0081402E" w:rsidRPr="008E1CC7">
        <w:rPr>
          <w:rFonts w:ascii="Arial" w:eastAsiaTheme="minorEastAsia" w:hAnsi="Arial" w:cs="Arial"/>
          <w:kern w:val="2"/>
          <w:sz w:val="21"/>
          <w:szCs w:val="21"/>
        </w:rPr>
        <w:t xml:space="preserve"> diagnosed with NSCLC in stage </w:t>
      </w:r>
      <w:r w:rsidR="0081402E" w:rsidRPr="008E1CC7">
        <w:rPr>
          <w:rFonts w:ascii="Arial" w:eastAsiaTheme="minorEastAsia" w:hAnsi="Noteworthy Light" w:cs="Arial"/>
          <w:kern w:val="2"/>
          <w:sz w:val="21"/>
          <w:szCs w:val="21"/>
        </w:rPr>
        <w:t>Ⅲ</w:t>
      </w:r>
      <w:r w:rsidR="0081402E" w:rsidRPr="008E1CC7">
        <w:rPr>
          <w:rFonts w:ascii="Arial" w:eastAsiaTheme="minorEastAsia" w:hAnsi="Arial" w:cs="Arial"/>
          <w:kern w:val="2"/>
          <w:sz w:val="21"/>
          <w:szCs w:val="21"/>
        </w:rPr>
        <w:t>B/</w:t>
      </w:r>
      <w:r w:rsidR="0081402E" w:rsidRPr="008E1CC7">
        <w:rPr>
          <w:rFonts w:ascii="Arial" w:eastAsiaTheme="minorEastAsia" w:hAnsi="Noteworthy Light" w:cs="Arial"/>
          <w:kern w:val="2"/>
          <w:sz w:val="21"/>
          <w:szCs w:val="21"/>
        </w:rPr>
        <w:t>Ⅳ</w:t>
      </w:r>
      <w:r w:rsidR="0081402E" w:rsidRPr="008E1CC7">
        <w:rPr>
          <w:rFonts w:ascii="Arial" w:eastAsiaTheme="minorEastAsia" w:hAnsi="Arial" w:cs="Arial"/>
          <w:kern w:val="2"/>
          <w:sz w:val="21"/>
          <w:szCs w:val="21"/>
        </w:rPr>
        <w:t xml:space="preserve">. </w:t>
      </w:r>
    </w:p>
    <w:p w:rsidR="00A23F84" w:rsidRPr="008E1CC7" w:rsidRDefault="00A23F84" w:rsidP="00BE3885">
      <w:pPr>
        <w:pStyle w:val="a5"/>
        <w:shd w:val="clear" w:color="auto" w:fill="FFFFFF"/>
        <w:spacing w:before="0" w:beforeAutospacing="0" w:after="90" w:afterAutospacing="0"/>
        <w:rPr>
          <w:rFonts w:ascii="Arial" w:eastAsiaTheme="minorEastAsia" w:hAnsi="Arial" w:cs="Arial"/>
          <w:kern w:val="2"/>
          <w:sz w:val="21"/>
          <w:szCs w:val="21"/>
        </w:rPr>
      </w:pPr>
    </w:p>
    <w:p w:rsidR="000E6ED5" w:rsidRPr="008E1CC7" w:rsidRDefault="000E6ED5" w:rsidP="00BE3885">
      <w:pPr>
        <w:pStyle w:val="a5"/>
        <w:shd w:val="clear" w:color="auto" w:fill="FFFFFF"/>
        <w:spacing w:before="0" w:beforeAutospacing="0" w:after="90" w:afterAutospacing="0"/>
        <w:rPr>
          <w:rFonts w:ascii="Arial" w:eastAsiaTheme="minorEastAsia" w:hAnsi="Arial" w:cs="Arial"/>
          <w:kern w:val="2"/>
          <w:sz w:val="21"/>
          <w:szCs w:val="21"/>
        </w:rPr>
      </w:pPr>
      <w:r w:rsidRPr="008E1CC7">
        <w:rPr>
          <w:rFonts w:ascii="Arial" w:hAnsi="Arial" w:cs="Arial"/>
          <w:b/>
          <w:color w:val="000000"/>
          <w:sz w:val="21"/>
          <w:szCs w:val="21"/>
          <w:lang w:val="en-GB"/>
        </w:rPr>
        <w:t xml:space="preserve">Eligibility criteria for each intervention and comparator: </w:t>
      </w:r>
      <w:r w:rsidR="0081402E" w:rsidRPr="008E1CC7">
        <w:rPr>
          <w:rFonts w:ascii="Arial" w:eastAsiaTheme="minorEastAsia" w:hAnsi="Arial" w:cs="Arial"/>
          <w:kern w:val="2"/>
          <w:sz w:val="21"/>
          <w:szCs w:val="21"/>
        </w:rPr>
        <w:t xml:space="preserve">Maintenance group could be single or combined with other agents except chemotherapeutics, the control group should be placebo or observation or other agents except chemotherapeutics, such as </w:t>
      </w:r>
      <w:proofErr w:type="spellStart"/>
      <w:r w:rsidR="0081402E" w:rsidRPr="008E1CC7">
        <w:rPr>
          <w:rFonts w:ascii="Arial" w:eastAsiaTheme="minorEastAsia" w:hAnsi="Arial" w:cs="Arial"/>
          <w:kern w:val="2"/>
          <w:sz w:val="21"/>
          <w:szCs w:val="21"/>
        </w:rPr>
        <w:t>bevacizumab</w:t>
      </w:r>
      <w:proofErr w:type="spellEnd"/>
      <w:r w:rsidR="0081402E" w:rsidRPr="008E1CC7">
        <w:rPr>
          <w:rFonts w:ascii="Arial" w:eastAsiaTheme="minorEastAsia" w:hAnsi="Arial" w:cs="Arial"/>
          <w:kern w:val="2"/>
          <w:sz w:val="21"/>
          <w:szCs w:val="21"/>
        </w:rPr>
        <w:t xml:space="preserve"> (due to the recommended regimen for </w:t>
      </w:r>
      <w:proofErr w:type="spellStart"/>
      <w:r w:rsidR="0081402E" w:rsidRPr="008E1CC7">
        <w:rPr>
          <w:rFonts w:ascii="Arial" w:eastAsiaTheme="minorEastAsia" w:hAnsi="Arial" w:cs="Arial"/>
          <w:kern w:val="2"/>
          <w:sz w:val="21"/>
          <w:szCs w:val="21"/>
        </w:rPr>
        <w:t>bevacizumab</w:t>
      </w:r>
      <w:proofErr w:type="spellEnd"/>
      <w:r w:rsidR="0081402E" w:rsidRPr="008E1CC7">
        <w:rPr>
          <w:rFonts w:ascii="Arial" w:eastAsiaTheme="minorEastAsia" w:hAnsi="Arial" w:cs="Arial"/>
          <w:kern w:val="2"/>
          <w:sz w:val="21"/>
          <w:szCs w:val="21"/>
        </w:rPr>
        <w:t xml:space="preserve"> is continuously administration). The difference between maintenance group and control group is only the use of TKI. </w:t>
      </w:r>
    </w:p>
    <w:p w:rsidR="000302DF" w:rsidRPr="008E1CC7" w:rsidRDefault="000302DF">
      <w:pPr>
        <w:pStyle w:val="bulleted"/>
        <w:shd w:val="clear" w:color="auto" w:fill="FFFFFF"/>
        <w:spacing w:before="0" w:beforeAutospacing="0" w:after="90" w:afterAutospacing="0"/>
        <w:rPr>
          <w:rFonts w:ascii="Arial" w:hAnsi="Arial" w:cs="Arial"/>
          <w:sz w:val="21"/>
          <w:szCs w:val="21"/>
          <w:lang w:val="en-GB"/>
        </w:rPr>
      </w:pPr>
    </w:p>
    <w:p w:rsidR="00BE3885" w:rsidRPr="008E1CC7" w:rsidRDefault="00BE3885" w:rsidP="00BE3885">
      <w:pPr>
        <w:pStyle w:val="a5"/>
        <w:shd w:val="clear" w:color="auto" w:fill="FFFFFF"/>
        <w:spacing w:before="0" w:beforeAutospacing="0" w:after="90" w:afterAutospacing="0"/>
        <w:rPr>
          <w:rFonts w:ascii="Arial" w:hAnsi="Arial" w:cs="Arial"/>
          <w:b/>
          <w:bCs/>
          <w:color w:val="000000"/>
          <w:sz w:val="21"/>
          <w:szCs w:val="21"/>
          <w:lang w:val="en-GB"/>
        </w:rPr>
      </w:pPr>
      <w:r w:rsidRPr="008E1CC7">
        <w:rPr>
          <w:rFonts w:ascii="Arial" w:hAnsi="Arial" w:cs="Arial"/>
          <w:b/>
          <w:bCs/>
          <w:color w:val="000000"/>
          <w:sz w:val="21"/>
          <w:szCs w:val="21"/>
          <w:lang w:val="en-GB"/>
        </w:rPr>
        <w:t>Methods: Search methods for identification of studies:</w:t>
      </w:r>
    </w:p>
    <w:p w:rsidR="0063628B" w:rsidRPr="008E1CC7" w:rsidRDefault="0081402E" w:rsidP="00BE3885">
      <w:pPr>
        <w:pStyle w:val="a5"/>
        <w:shd w:val="clear" w:color="auto" w:fill="FFFFFF"/>
        <w:spacing w:before="0" w:beforeAutospacing="0" w:after="90" w:afterAutospacing="0"/>
        <w:rPr>
          <w:rFonts w:ascii="Arial" w:eastAsiaTheme="minorEastAsia" w:hAnsi="Arial" w:cs="Arial"/>
          <w:kern w:val="2"/>
          <w:sz w:val="21"/>
          <w:szCs w:val="21"/>
        </w:rPr>
      </w:pPr>
      <w:r w:rsidRPr="00A23F84">
        <w:rPr>
          <w:rFonts w:ascii="Arial" w:hAnsi="Arial" w:cs="Arial"/>
          <w:b/>
          <w:color w:val="000000"/>
          <w:sz w:val="21"/>
          <w:szCs w:val="21"/>
        </w:rPr>
        <w:t>Databases:</w:t>
      </w:r>
      <w:r w:rsidRPr="008E1CC7">
        <w:rPr>
          <w:rFonts w:ascii="Arial" w:hAnsi="Arial" w:cs="Arial"/>
          <w:color w:val="000000"/>
          <w:sz w:val="21"/>
          <w:szCs w:val="21"/>
        </w:rPr>
        <w:t xml:space="preserve"> </w:t>
      </w:r>
      <w:proofErr w:type="spellStart"/>
      <w:r w:rsidRPr="008E1CC7">
        <w:rPr>
          <w:rFonts w:ascii="Arial" w:eastAsiaTheme="minorEastAsia" w:hAnsi="Arial" w:cs="Arial"/>
          <w:kern w:val="2"/>
          <w:sz w:val="21"/>
          <w:szCs w:val="21"/>
        </w:rPr>
        <w:t>Pubmed</w:t>
      </w:r>
      <w:proofErr w:type="spellEnd"/>
      <w:r w:rsidRPr="008E1CC7">
        <w:rPr>
          <w:rFonts w:ascii="Arial" w:eastAsiaTheme="minorEastAsia" w:hAnsi="Arial" w:cs="Arial"/>
          <w:kern w:val="2"/>
          <w:sz w:val="21"/>
          <w:szCs w:val="21"/>
        </w:rPr>
        <w:t>, the EMBASE and the Cochrane library Meeting abstracts: American society of Clinical Oncology (ASCO) (2007-2012) and World Congress of Lung Cancer (WCLC) (2007-2011)</w:t>
      </w:r>
    </w:p>
    <w:p w:rsidR="0063628B" w:rsidRPr="008E1CC7" w:rsidRDefault="0081402E" w:rsidP="00BE3885">
      <w:pPr>
        <w:pStyle w:val="a5"/>
        <w:shd w:val="clear" w:color="auto" w:fill="FFFFFF"/>
        <w:spacing w:before="0" w:beforeAutospacing="0" w:after="90" w:afterAutospacing="0"/>
        <w:rPr>
          <w:rFonts w:ascii="Arial" w:eastAsiaTheme="minorEastAsia" w:hAnsi="Arial" w:cs="Arial"/>
          <w:kern w:val="2"/>
          <w:sz w:val="21"/>
          <w:szCs w:val="21"/>
        </w:rPr>
      </w:pPr>
      <w:r w:rsidRPr="00A23F84">
        <w:rPr>
          <w:rFonts w:ascii="Arial" w:eastAsiaTheme="minorEastAsia" w:hAnsi="Arial" w:cs="Arial"/>
          <w:b/>
          <w:kern w:val="2"/>
          <w:sz w:val="21"/>
          <w:szCs w:val="21"/>
        </w:rPr>
        <w:t>Key words:</w:t>
      </w:r>
      <w:r w:rsidRPr="008E1CC7">
        <w:rPr>
          <w:rFonts w:ascii="Arial" w:eastAsiaTheme="minorEastAsia" w:hAnsi="Arial" w:cs="Arial"/>
          <w:kern w:val="2"/>
          <w:sz w:val="21"/>
          <w:szCs w:val="21"/>
        </w:rPr>
        <w:t xml:space="preserve"> “gefitinib and maintenance”, or “erlotinib and maintenance”, “non-small cell lung cancer (NSCLC)”</w:t>
      </w:r>
    </w:p>
    <w:p w:rsidR="0063628B" w:rsidRPr="008E1CC7" w:rsidRDefault="0081402E" w:rsidP="00BE3885">
      <w:pPr>
        <w:pStyle w:val="a5"/>
        <w:shd w:val="clear" w:color="auto" w:fill="FFFFFF"/>
        <w:spacing w:before="0" w:beforeAutospacing="0" w:after="90" w:afterAutospacing="0"/>
        <w:rPr>
          <w:rFonts w:ascii="Arial" w:eastAsiaTheme="minorEastAsia" w:hAnsi="Arial" w:cs="Arial"/>
          <w:kern w:val="2"/>
          <w:sz w:val="21"/>
          <w:szCs w:val="21"/>
        </w:rPr>
      </w:pPr>
      <w:r w:rsidRPr="008E1CC7">
        <w:rPr>
          <w:rFonts w:ascii="Arial" w:eastAsiaTheme="minorEastAsia" w:hAnsi="Arial" w:cs="Arial"/>
          <w:kern w:val="2"/>
          <w:sz w:val="21"/>
          <w:szCs w:val="21"/>
        </w:rPr>
        <w:t>Relevant trials w</w:t>
      </w:r>
      <w:r w:rsidR="00267BB5" w:rsidRPr="008E1CC7">
        <w:rPr>
          <w:rFonts w:ascii="Arial" w:eastAsiaTheme="minorEastAsia" w:hAnsi="Arial" w:cs="Arial"/>
          <w:kern w:val="2"/>
          <w:sz w:val="21"/>
          <w:szCs w:val="21"/>
        </w:rPr>
        <w:t xml:space="preserve">ere </w:t>
      </w:r>
      <w:r w:rsidR="00FB1865" w:rsidRPr="008E1CC7">
        <w:rPr>
          <w:rFonts w:ascii="Arial" w:eastAsiaTheme="minorEastAsia" w:hAnsi="Arial" w:cs="Arial"/>
          <w:kern w:val="2"/>
          <w:sz w:val="21"/>
          <w:szCs w:val="21"/>
        </w:rPr>
        <w:t xml:space="preserve">also </w:t>
      </w:r>
      <w:r w:rsidRPr="008E1CC7">
        <w:rPr>
          <w:rFonts w:ascii="Arial" w:eastAsiaTheme="minorEastAsia" w:hAnsi="Arial" w:cs="Arial"/>
          <w:kern w:val="2"/>
          <w:sz w:val="21"/>
          <w:szCs w:val="21"/>
        </w:rPr>
        <w:t>checked in the clinical trials website (clinicaltrial.gov). Reference lists of original articles and review articles w</w:t>
      </w:r>
      <w:r w:rsidR="00267BB5" w:rsidRPr="008E1CC7">
        <w:rPr>
          <w:rFonts w:ascii="Arial" w:eastAsiaTheme="minorEastAsia" w:hAnsi="Arial" w:cs="Arial"/>
          <w:kern w:val="2"/>
          <w:sz w:val="21"/>
          <w:szCs w:val="21"/>
        </w:rPr>
        <w:t>ere</w:t>
      </w:r>
      <w:r w:rsidRPr="008E1CC7">
        <w:rPr>
          <w:rFonts w:ascii="Arial" w:eastAsiaTheme="minorEastAsia" w:hAnsi="Arial" w:cs="Arial"/>
          <w:kern w:val="2"/>
          <w:sz w:val="21"/>
          <w:szCs w:val="21"/>
        </w:rPr>
        <w:t xml:space="preserve"> also examined for additional literature </w:t>
      </w:r>
    </w:p>
    <w:p w:rsidR="0063628B" w:rsidRPr="008E1CC7" w:rsidRDefault="0081402E" w:rsidP="00BE3885">
      <w:pPr>
        <w:pStyle w:val="a5"/>
        <w:shd w:val="clear" w:color="auto" w:fill="FFFFFF"/>
        <w:spacing w:before="0" w:beforeAutospacing="0" w:after="90" w:afterAutospacing="0"/>
        <w:rPr>
          <w:rFonts w:ascii="Arial" w:eastAsiaTheme="minorEastAsia" w:hAnsi="Arial" w:cs="Arial"/>
          <w:kern w:val="2"/>
          <w:sz w:val="21"/>
          <w:szCs w:val="21"/>
        </w:rPr>
      </w:pPr>
      <w:r w:rsidRPr="008E1CC7">
        <w:rPr>
          <w:rFonts w:ascii="Arial" w:eastAsiaTheme="minorEastAsia" w:hAnsi="Arial" w:cs="Arial"/>
          <w:kern w:val="2"/>
          <w:sz w:val="21"/>
          <w:szCs w:val="21"/>
        </w:rPr>
        <w:t xml:space="preserve">Dr. </w:t>
      </w:r>
      <w:proofErr w:type="spellStart"/>
      <w:r w:rsidRPr="008E1CC7">
        <w:rPr>
          <w:rFonts w:ascii="Arial" w:eastAsiaTheme="minorEastAsia" w:hAnsi="Arial" w:cs="Arial"/>
          <w:kern w:val="2"/>
          <w:sz w:val="21"/>
          <w:szCs w:val="21"/>
        </w:rPr>
        <w:t>Xiaofeng</w:t>
      </w:r>
      <w:proofErr w:type="spellEnd"/>
      <w:r w:rsidRPr="008E1CC7">
        <w:rPr>
          <w:rFonts w:ascii="Arial" w:eastAsiaTheme="minorEastAsia" w:hAnsi="Arial" w:cs="Arial"/>
          <w:kern w:val="2"/>
          <w:sz w:val="21"/>
          <w:szCs w:val="21"/>
        </w:rPr>
        <w:t xml:space="preserve"> Chen</w:t>
      </w:r>
      <w:r w:rsidR="00A23F84">
        <w:rPr>
          <w:rFonts w:ascii="Arial" w:eastAsiaTheme="minorEastAsia" w:hAnsi="Arial" w:cs="Arial" w:hint="eastAsia"/>
          <w:kern w:val="2"/>
          <w:sz w:val="21"/>
          <w:szCs w:val="21"/>
        </w:rPr>
        <w:t>,</w:t>
      </w:r>
      <w:r w:rsidRPr="008E1CC7">
        <w:rPr>
          <w:rFonts w:ascii="Arial" w:eastAsiaTheme="minorEastAsia" w:hAnsi="Arial" w:cs="Arial"/>
          <w:kern w:val="2"/>
          <w:sz w:val="21"/>
          <w:szCs w:val="21"/>
        </w:rPr>
        <w:t xml:space="preserve"> Dr. </w:t>
      </w:r>
      <w:proofErr w:type="spellStart"/>
      <w:r w:rsidRPr="008E1CC7">
        <w:rPr>
          <w:rFonts w:ascii="Arial" w:eastAsiaTheme="minorEastAsia" w:hAnsi="Arial" w:cs="Arial"/>
          <w:kern w:val="2"/>
          <w:sz w:val="21"/>
          <w:szCs w:val="21"/>
        </w:rPr>
        <w:t>Yiqian</w:t>
      </w:r>
      <w:proofErr w:type="spellEnd"/>
      <w:r w:rsidRPr="008E1CC7">
        <w:rPr>
          <w:rFonts w:ascii="Arial" w:eastAsiaTheme="minorEastAsia" w:hAnsi="Arial" w:cs="Arial"/>
          <w:kern w:val="2"/>
          <w:sz w:val="21"/>
          <w:szCs w:val="21"/>
        </w:rPr>
        <w:t xml:space="preserve"> Liu and Dr. </w:t>
      </w:r>
      <w:proofErr w:type="spellStart"/>
      <w:r w:rsidRPr="008E1CC7">
        <w:rPr>
          <w:rFonts w:ascii="Arial" w:eastAsiaTheme="minorEastAsia" w:hAnsi="Arial" w:cs="Arial"/>
          <w:kern w:val="2"/>
          <w:sz w:val="21"/>
          <w:szCs w:val="21"/>
        </w:rPr>
        <w:t>Yingying</w:t>
      </w:r>
      <w:proofErr w:type="spellEnd"/>
      <w:r w:rsidRPr="008E1CC7">
        <w:rPr>
          <w:rFonts w:ascii="Arial" w:eastAsiaTheme="minorEastAsia" w:hAnsi="Arial" w:cs="Arial"/>
          <w:kern w:val="2"/>
          <w:sz w:val="21"/>
          <w:szCs w:val="21"/>
        </w:rPr>
        <w:t xml:space="preserve"> </w:t>
      </w:r>
      <w:proofErr w:type="spellStart"/>
      <w:r w:rsidRPr="008E1CC7">
        <w:rPr>
          <w:rFonts w:ascii="Arial" w:eastAsiaTheme="minorEastAsia" w:hAnsi="Arial" w:cs="Arial"/>
          <w:kern w:val="2"/>
          <w:sz w:val="21"/>
          <w:szCs w:val="21"/>
        </w:rPr>
        <w:t>Qian</w:t>
      </w:r>
      <w:proofErr w:type="spellEnd"/>
      <w:r w:rsidRPr="008E1CC7">
        <w:rPr>
          <w:rFonts w:ascii="Arial" w:eastAsiaTheme="minorEastAsia" w:hAnsi="Arial" w:cs="Arial"/>
          <w:kern w:val="2"/>
          <w:sz w:val="21"/>
          <w:szCs w:val="21"/>
        </w:rPr>
        <w:t xml:space="preserve"> independently search</w:t>
      </w:r>
      <w:r w:rsidR="00267BB5" w:rsidRPr="008E1CC7">
        <w:rPr>
          <w:rFonts w:ascii="Arial" w:eastAsiaTheme="minorEastAsia" w:hAnsi="Arial" w:cs="Arial"/>
          <w:kern w:val="2"/>
          <w:sz w:val="21"/>
          <w:szCs w:val="21"/>
        </w:rPr>
        <w:t>ed</w:t>
      </w:r>
      <w:r w:rsidRPr="008E1CC7">
        <w:rPr>
          <w:rFonts w:ascii="Arial" w:eastAsiaTheme="minorEastAsia" w:hAnsi="Arial" w:cs="Arial"/>
          <w:kern w:val="2"/>
          <w:sz w:val="21"/>
          <w:szCs w:val="21"/>
        </w:rPr>
        <w:t xml:space="preserve"> and screen</w:t>
      </w:r>
      <w:r w:rsidR="00FB1865" w:rsidRPr="008E1CC7">
        <w:rPr>
          <w:rFonts w:ascii="Arial" w:eastAsiaTheme="minorEastAsia" w:hAnsi="Arial" w:cs="Arial"/>
          <w:kern w:val="2"/>
          <w:sz w:val="21"/>
          <w:szCs w:val="21"/>
        </w:rPr>
        <w:t>ed</w:t>
      </w:r>
      <w:r w:rsidRPr="008E1CC7">
        <w:rPr>
          <w:rFonts w:ascii="Arial" w:eastAsiaTheme="minorEastAsia" w:hAnsi="Arial" w:cs="Arial"/>
          <w:kern w:val="2"/>
          <w:sz w:val="21"/>
          <w:szCs w:val="21"/>
        </w:rPr>
        <w:t xml:space="preserve"> the eligible trials. </w:t>
      </w:r>
      <w:proofErr w:type="spellStart"/>
      <w:r w:rsidRPr="008E1CC7">
        <w:rPr>
          <w:rFonts w:ascii="Arial" w:eastAsiaTheme="minorEastAsia" w:hAnsi="Arial" w:cs="Arial"/>
          <w:kern w:val="2"/>
          <w:sz w:val="21"/>
          <w:szCs w:val="21"/>
        </w:rPr>
        <w:t>Renhua</w:t>
      </w:r>
      <w:proofErr w:type="spellEnd"/>
      <w:r w:rsidRPr="008E1CC7">
        <w:rPr>
          <w:rFonts w:ascii="Arial" w:eastAsiaTheme="minorEastAsia" w:hAnsi="Arial" w:cs="Arial"/>
          <w:kern w:val="2"/>
          <w:sz w:val="21"/>
          <w:szCs w:val="21"/>
        </w:rPr>
        <w:t xml:space="preserve"> </w:t>
      </w:r>
      <w:proofErr w:type="spellStart"/>
      <w:r w:rsidRPr="008E1CC7">
        <w:rPr>
          <w:rFonts w:ascii="Arial" w:eastAsiaTheme="minorEastAsia" w:hAnsi="Arial" w:cs="Arial"/>
          <w:kern w:val="2"/>
          <w:sz w:val="21"/>
          <w:szCs w:val="21"/>
        </w:rPr>
        <w:t>Guo</w:t>
      </w:r>
      <w:proofErr w:type="spellEnd"/>
      <w:r w:rsidRPr="008E1CC7">
        <w:rPr>
          <w:rFonts w:ascii="Arial" w:eastAsiaTheme="minorEastAsia" w:hAnsi="Arial" w:cs="Arial"/>
          <w:kern w:val="2"/>
          <w:sz w:val="21"/>
          <w:szCs w:val="21"/>
        </w:rPr>
        <w:t xml:space="preserve"> and </w:t>
      </w:r>
      <w:proofErr w:type="spellStart"/>
      <w:r w:rsidRPr="008E1CC7">
        <w:rPr>
          <w:rFonts w:ascii="Arial" w:eastAsiaTheme="minorEastAsia" w:hAnsi="Arial" w:cs="Arial"/>
          <w:kern w:val="2"/>
          <w:sz w:val="21"/>
          <w:szCs w:val="21"/>
        </w:rPr>
        <w:t>Lingjun</w:t>
      </w:r>
      <w:proofErr w:type="spellEnd"/>
      <w:r w:rsidRPr="008E1CC7">
        <w:rPr>
          <w:rFonts w:ascii="Arial" w:eastAsiaTheme="minorEastAsia" w:hAnsi="Arial" w:cs="Arial"/>
          <w:kern w:val="2"/>
          <w:sz w:val="21"/>
          <w:szCs w:val="21"/>
        </w:rPr>
        <w:t xml:space="preserve"> Zhu</w:t>
      </w:r>
      <w:r w:rsidR="00FB1865" w:rsidRPr="008E1CC7">
        <w:rPr>
          <w:rFonts w:ascii="Arial" w:eastAsiaTheme="minorEastAsia" w:hAnsi="Arial" w:cs="Arial"/>
          <w:kern w:val="2"/>
          <w:sz w:val="21"/>
          <w:szCs w:val="21"/>
        </w:rPr>
        <w:t xml:space="preserve"> </w:t>
      </w:r>
      <w:r w:rsidRPr="008E1CC7">
        <w:rPr>
          <w:rFonts w:ascii="Arial" w:eastAsiaTheme="minorEastAsia" w:hAnsi="Arial" w:cs="Arial"/>
          <w:kern w:val="2"/>
          <w:sz w:val="21"/>
          <w:szCs w:val="21"/>
        </w:rPr>
        <w:t>review</w:t>
      </w:r>
      <w:r w:rsidR="00FB1865" w:rsidRPr="008E1CC7">
        <w:rPr>
          <w:rFonts w:ascii="Arial" w:eastAsiaTheme="minorEastAsia" w:hAnsi="Arial" w:cs="Arial"/>
          <w:kern w:val="2"/>
          <w:sz w:val="21"/>
          <w:szCs w:val="21"/>
        </w:rPr>
        <w:t>ed</w:t>
      </w:r>
      <w:r w:rsidRPr="008E1CC7">
        <w:rPr>
          <w:rFonts w:ascii="Arial" w:eastAsiaTheme="minorEastAsia" w:hAnsi="Arial" w:cs="Arial"/>
          <w:kern w:val="2"/>
          <w:sz w:val="21"/>
          <w:szCs w:val="21"/>
        </w:rPr>
        <w:t xml:space="preserve"> the process </w:t>
      </w:r>
      <w:r w:rsidR="00FB1865" w:rsidRPr="008E1CC7">
        <w:rPr>
          <w:rFonts w:ascii="Arial" w:eastAsiaTheme="minorEastAsia" w:hAnsi="Arial" w:cs="Arial"/>
          <w:kern w:val="2"/>
          <w:sz w:val="21"/>
          <w:szCs w:val="21"/>
        </w:rPr>
        <w:t xml:space="preserve">to ensure </w:t>
      </w:r>
      <w:proofErr w:type="gramStart"/>
      <w:r w:rsidR="00FB1865" w:rsidRPr="008E1CC7">
        <w:rPr>
          <w:rFonts w:ascii="Arial" w:eastAsiaTheme="minorEastAsia" w:hAnsi="Arial" w:cs="Arial"/>
          <w:kern w:val="2"/>
          <w:sz w:val="21"/>
          <w:szCs w:val="21"/>
        </w:rPr>
        <w:t>the</w:t>
      </w:r>
      <w:proofErr w:type="gramEnd"/>
      <w:r w:rsidR="00FB1865" w:rsidRPr="008E1CC7">
        <w:rPr>
          <w:rFonts w:ascii="Arial" w:eastAsiaTheme="minorEastAsia" w:hAnsi="Arial" w:cs="Arial"/>
          <w:kern w:val="2"/>
          <w:sz w:val="21"/>
          <w:szCs w:val="21"/>
        </w:rPr>
        <w:t xml:space="preserve"> eligibility of</w:t>
      </w:r>
      <w:r w:rsidRPr="008E1CC7">
        <w:rPr>
          <w:rFonts w:ascii="Arial" w:eastAsiaTheme="minorEastAsia" w:hAnsi="Arial" w:cs="Arial"/>
          <w:kern w:val="2"/>
          <w:sz w:val="21"/>
          <w:szCs w:val="21"/>
        </w:rPr>
        <w:t xml:space="preserve"> the trials.  </w:t>
      </w:r>
    </w:p>
    <w:p w:rsidR="00A81537" w:rsidRPr="008E1CC7" w:rsidRDefault="00A81537" w:rsidP="00BE3885">
      <w:pPr>
        <w:pStyle w:val="a5"/>
        <w:shd w:val="clear" w:color="auto" w:fill="FFFFFF"/>
        <w:spacing w:before="0" w:beforeAutospacing="0" w:after="90" w:afterAutospacing="0"/>
        <w:rPr>
          <w:rFonts w:ascii="Arial" w:eastAsiaTheme="minorEastAsia" w:hAnsi="Arial" w:cs="Arial"/>
          <w:kern w:val="2"/>
          <w:sz w:val="21"/>
          <w:szCs w:val="21"/>
        </w:rPr>
      </w:pPr>
    </w:p>
    <w:p w:rsidR="00BE3885" w:rsidRDefault="00BE3885" w:rsidP="00BE3885">
      <w:pPr>
        <w:pStyle w:val="a5"/>
        <w:shd w:val="clear" w:color="auto" w:fill="FFFFFF"/>
        <w:spacing w:before="0" w:beforeAutospacing="0" w:after="90" w:afterAutospacing="0"/>
        <w:rPr>
          <w:rFonts w:ascii="Arial" w:hAnsi="Arial" w:cs="Arial" w:hint="eastAsia"/>
          <w:b/>
          <w:bCs/>
          <w:color w:val="000000"/>
          <w:sz w:val="21"/>
          <w:szCs w:val="21"/>
          <w:lang w:val="en-GB"/>
        </w:rPr>
      </w:pPr>
      <w:r w:rsidRPr="008E1CC7">
        <w:rPr>
          <w:rFonts w:ascii="Arial" w:hAnsi="Arial" w:cs="Arial"/>
          <w:b/>
          <w:bCs/>
          <w:color w:val="000000"/>
          <w:sz w:val="21"/>
          <w:szCs w:val="21"/>
          <w:lang w:val="en-GB"/>
        </w:rPr>
        <w:t>Methods: Data collection and analysis:</w:t>
      </w:r>
    </w:p>
    <w:p w:rsidR="003703F3" w:rsidRPr="008E1CC7" w:rsidRDefault="003703F3" w:rsidP="00BE3885">
      <w:pPr>
        <w:pStyle w:val="a5"/>
        <w:shd w:val="clear" w:color="auto" w:fill="FFFFFF"/>
        <w:spacing w:before="0" w:beforeAutospacing="0" w:after="90" w:afterAutospacing="0"/>
        <w:rPr>
          <w:rFonts w:ascii="Arial" w:hAnsi="Arial" w:cs="Arial"/>
          <w:b/>
          <w:bCs/>
          <w:color w:val="000000"/>
          <w:sz w:val="21"/>
          <w:szCs w:val="21"/>
          <w:lang w:val="en-GB"/>
        </w:rPr>
      </w:pPr>
    </w:p>
    <w:p w:rsidR="00A81537" w:rsidRPr="008E1CC7" w:rsidRDefault="000F6E9D" w:rsidP="00BE3885">
      <w:pPr>
        <w:pStyle w:val="a5"/>
        <w:shd w:val="clear" w:color="auto" w:fill="FFFFFF"/>
        <w:spacing w:before="0" w:beforeAutospacing="0" w:after="90" w:afterAutospacing="0"/>
        <w:rPr>
          <w:rFonts w:ascii="Arial" w:hAnsi="Arial" w:cs="Arial"/>
          <w:color w:val="000000"/>
          <w:sz w:val="21"/>
          <w:szCs w:val="21"/>
        </w:rPr>
      </w:pPr>
      <w:r w:rsidRPr="008E1CC7">
        <w:rPr>
          <w:rFonts w:ascii="Arial" w:hAnsi="Arial" w:cs="Arial"/>
          <w:color w:val="000000"/>
          <w:sz w:val="21"/>
          <w:szCs w:val="21"/>
        </w:rPr>
        <w:t>Final l</w:t>
      </w:r>
      <w:r w:rsidR="00FB1865" w:rsidRPr="008E1CC7">
        <w:rPr>
          <w:rFonts w:ascii="Arial" w:hAnsi="Arial" w:cs="Arial"/>
          <w:color w:val="000000"/>
          <w:sz w:val="21"/>
          <w:szCs w:val="21"/>
        </w:rPr>
        <w:t>ist of eligible t</w:t>
      </w:r>
      <w:r w:rsidR="00A81537" w:rsidRPr="008E1CC7">
        <w:rPr>
          <w:rFonts w:ascii="Arial" w:hAnsi="Arial" w:cs="Arial"/>
          <w:color w:val="000000"/>
          <w:sz w:val="21"/>
          <w:szCs w:val="21"/>
        </w:rPr>
        <w:t>rials:</w:t>
      </w:r>
    </w:p>
    <w:tbl>
      <w:tblPr>
        <w:tblW w:w="7905" w:type="dxa"/>
        <w:tblBorders>
          <w:top w:val="single" w:sz="4" w:space="0" w:color="auto"/>
          <w:bottom w:val="single" w:sz="4" w:space="0" w:color="auto"/>
        </w:tblBorders>
        <w:tblLayout w:type="fixed"/>
        <w:tblLook w:val="00A0"/>
      </w:tblPr>
      <w:tblGrid>
        <w:gridCol w:w="1951"/>
        <w:gridCol w:w="1985"/>
        <w:gridCol w:w="992"/>
        <w:gridCol w:w="2126"/>
        <w:gridCol w:w="851"/>
      </w:tblGrid>
      <w:tr w:rsidR="00A81537" w:rsidRPr="008E1CC7" w:rsidTr="00A81537">
        <w:trPr>
          <w:trHeight w:val="285"/>
        </w:trPr>
        <w:tc>
          <w:tcPr>
            <w:tcW w:w="1951" w:type="dxa"/>
            <w:tcBorders>
              <w:top w:val="single" w:sz="4" w:space="0" w:color="auto"/>
              <w:bottom w:val="single" w:sz="4" w:space="0" w:color="auto"/>
            </w:tcBorders>
          </w:tcPr>
          <w:p w:rsidR="00A81537" w:rsidRPr="008E1CC7" w:rsidRDefault="0081402E" w:rsidP="00FD64DD">
            <w:pPr>
              <w:jc w:val="left"/>
              <w:rPr>
                <w:rFonts w:ascii="Arial" w:hAnsi="Arial" w:cs="Arial"/>
                <w:b/>
                <w:szCs w:val="21"/>
              </w:rPr>
            </w:pPr>
            <w:r w:rsidRPr="008E1CC7">
              <w:rPr>
                <w:rFonts w:ascii="Arial" w:hAnsi="Arial" w:cs="Arial"/>
                <w:b/>
                <w:szCs w:val="21"/>
              </w:rPr>
              <w:t>Studies</w:t>
            </w:r>
          </w:p>
        </w:tc>
        <w:tc>
          <w:tcPr>
            <w:tcW w:w="1985" w:type="dxa"/>
            <w:tcBorders>
              <w:top w:val="single" w:sz="4" w:space="0" w:color="auto"/>
              <w:bottom w:val="single" w:sz="4" w:space="0" w:color="auto"/>
            </w:tcBorders>
            <w:noWrap/>
          </w:tcPr>
          <w:p w:rsidR="00A81537" w:rsidRPr="008E1CC7" w:rsidRDefault="0081402E" w:rsidP="00FD64DD">
            <w:pPr>
              <w:jc w:val="left"/>
              <w:rPr>
                <w:rFonts w:ascii="Arial" w:hAnsi="Arial" w:cs="Arial"/>
                <w:b/>
                <w:szCs w:val="21"/>
              </w:rPr>
            </w:pPr>
            <w:r w:rsidRPr="008E1CC7">
              <w:rPr>
                <w:rFonts w:ascii="Arial" w:hAnsi="Arial" w:cs="Arial"/>
                <w:b/>
                <w:szCs w:val="21"/>
              </w:rPr>
              <w:t xml:space="preserve">First </w:t>
            </w:r>
          </w:p>
          <w:p w:rsidR="00A81537" w:rsidRPr="008E1CC7" w:rsidRDefault="0081402E" w:rsidP="00FD64DD">
            <w:pPr>
              <w:jc w:val="left"/>
              <w:rPr>
                <w:rFonts w:ascii="Arial" w:hAnsi="Arial" w:cs="Arial"/>
                <w:b/>
                <w:szCs w:val="21"/>
              </w:rPr>
            </w:pPr>
            <w:r w:rsidRPr="008E1CC7">
              <w:rPr>
                <w:rFonts w:ascii="Arial" w:hAnsi="Arial" w:cs="Arial"/>
                <w:b/>
                <w:szCs w:val="21"/>
              </w:rPr>
              <w:t>author/</w:t>
            </w:r>
          </w:p>
          <w:p w:rsidR="00A81537" w:rsidRPr="008E1CC7" w:rsidRDefault="0081402E" w:rsidP="00FD64DD">
            <w:pPr>
              <w:jc w:val="left"/>
              <w:rPr>
                <w:rFonts w:ascii="Arial" w:hAnsi="Arial" w:cs="Arial"/>
                <w:b/>
                <w:szCs w:val="21"/>
              </w:rPr>
            </w:pPr>
            <w:r w:rsidRPr="008E1CC7">
              <w:rPr>
                <w:rFonts w:ascii="Arial" w:hAnsi="Arial" w:cs="Arial"/>
                <w:b/>
                <w:szCs w:val="21"/>
              </w:rPr>
              <w:t>year</w:t>
            </w:r>
          </w:p>
        </w:tc>
        <w:tc>
          <w:tcPr>
            <w:tcW w:w="992" w:type="dxa"/>
            <w:tcBorders>
              <w:top w:val="single" w:sz="4" w:space="0" w:color="auto"/>
              <w:bottom w:val="single" w:sz="4" w:space="0" w:color="auto"/>
            </w:tcBorders>
          </w:tcPr>
          <w:p w:rsidR="00A81537" w:rsidRPr="008E1CC7" w:rsidRDefault="0081402E" w:rsidP="00FD64DD">
            <w:pPr>
              <w:jc w:val="left"/>
              <w:rPr>
                <w:rFonts w:ascii="Arial" w:hAnsi="Arial" w:cs="Arial"/>
                <w:b/>
                <w:szCs w:val="21"/>
              </w:rPr>
            </w:pPr>
            <w:r w:rsidRPr="008E1CC7">
              <w:rPr>
                <w:rFonts w:ascii="Arial" w:hAnsi="Arial" w:cs="Arial"/>
                <w:b/>
                <w:szCs w:val="21"/>
              </w:rPr>
              <w:t>Pts n</w:t>
            </w:r>
          </w:p>
        </w:tc>
        <w:tc>
          <w:tcPr>
            <w:tcW w:w="2126" w:type="dxa"/>
            <w:tcBorders>
              <w:top w:val="single" w:sz="4" w:space="0" w:color="auto"/>
              <w:bottom w:val="single" w:sz="4" w:space="0" w:color="auto"/>
            </w:tcBorders>
          </w:tcPr>
          <w:p w:rsidR="00A81537" w:rsidRPr="008E1CC7" w:rsidDel="00C964F6" w:rsidRDefault="0081402E" w:rsidP="00FD64DD">
            <w:pPr>
              <w:jc w:val="left"/>
              <w:rPr>
                <w:rFonts w:ascii="Arial" w:hAnsi="Arial" w:cs="Arial"/>
                <w:b/>
                <w:szCs w:val="21"/>
              </w:rPr>
            </w:pPr>
            <w:r w:rsidRPr="008E1CC7">
              <w:rPr>
                <w:rFonts w:ascii="Arial" w:hAnsi="Arial" w:cs="Arial"/>
                <w:b/>
                <w:szCs w:val="21"/>
              </w:rPr>
              <w:t>Ethnicity Caucasian/Asian/</w:t>
            </w:r>
          </w:p>
          <w:p w:rsidR="00A81537" w:rsidRPr="008E1CC7" w:rsidRDefault="0081402E" w:rsidP="00FD64DD">
            <w:pPr>
              <w:jc w:val="left"/>
              <w:rPr>
                <w:rFonts w:ascii="Arial" w:hAnsi="Arial" w:cs="Arial"/>
                <w:b/>
                <w:szCs w:val="21"/>
              </w:rPr>
            </w:pPr>
            <w:r w:rsidRPr="008E1CC7">
              <w:rPr>
                <w:rFonts w:ascii="Arial" w:hAnsi="Arial" w:cs="Arial"/>
                <w:b/>
                <w:szCs w:val="21"/>
              </w:rPr>
              <w:t>Other (%)</w:t>
            </w:r>
          </w:p>
        </w:tc>
        <w:tc>
          <w:tcPr>
            <w:tcW w:w="851" w:type="dxa"/>
            <w:tcBorders>
              <w:top w:val="single" w:sz="4" w:space="0" w:color="auto"/>
              <w:bottom w:val="single" w:sz="4" w:space="0" w:color="auto"/>
            </w:tcBorders>
          </w:tcPr>
          <w:p w:rsidR="00A81537" w:rsidRPr="008E1CC7" w:rsidDel="00650C14" w:rsidRDefault="0081402E" w:rsidP="00FD64DD">
            <w:pPr>
              <w:jc w:val="left"/>
              <w:rPr>
                <w:rFonts w:ascii="Arial" w:hAnsi="Arial" w:cs="Arial"/>
                <w:b/>
                <w:szCs w:val="21"/>
              </w:rPr>
            </w:pPr>
            <w:r w:rsidRPr="008E1CC7">
              <w:rPr>
                <w:rFonts w:ascii="Arial" w:hAnsi="Arial" w:cs="Arial"/>
                <w:b/>
                <w:szCs w:val="21"/>
              </w:rPr>
              <w:t>Age</w:t>
            </w:r>
          </w:p>
          <w:p w:rsidR="00A81537" w:rsidRPr="008E1CC7" w:rsidRDefault="0081402E" w:rsidP="00FD64DD">
            <w:pPr>
              <w:jc w:val="left"/>
              <w:rPr>
                <w:rFonts w:ascii="Arial" w:hAnsi="Arial" w:cs="Arial"/>
                <w:b/>
                <w:szCs w:val="21"/>
              </w:rPr>
            </w:pPr>
            <w:r w:rsidRPr="008E1CC7">
              <w:rPr>
                <w:rFonts w:ascii="Arial" w:hAnsi="Arial" w:cs="Arial"/>
                <w:b/>
                <w:szCs w:val="21"/>
              </w:rPr>
              <w:t>M</w:t>
            </w:r>
          </w:p>
        </w:tc>
      </w:tr>
      <w:tr w:rsidR="00A81537" w:rsidRPr="008E1CC7" w:rsidTr="00A81537">
        <w:trPr>
          <w:trHeight w:val="754"/>
        </w:trPr>
        <w:tc>
          <w:tcPr>
            <w:tcW w:w="1951" w:type="dxa"/>
            <w:tcBorders>
              <w:top w:val="single" w:sz="4" w:space="0" w:color="auto"/>
            </w:tcBorders>
            <w:noWrap/>
          </w:tcPr>
          <w:p w:rsidR="00A81537" w:rsidRPr="008E1CC7" w:rsidRDefault="0081402E" w:rsidP="00FD64DD">
            <w:pPr>
              <w:jc w:val="left"/>
              <w:rPr>
                <w:rFonts w:ascii="Arial" w:hAnsi="Arial" w:cs="Arial"/>
                <w:szCs w:val="21"/>
              </w:rPr>
            </w:pPr>
            <w:r w:rsidRPr="008E1CC7">
              <w:rPr>
                <w:rFonts w:ascii="Arial" w:hAnsi="Arial" w:cs="Arial"/>
                <w:szCs w:val="21"/>
              </w:rPr>
              <w:t>INFORM</w:t>
            </w:r>
          </w:p>
          <w:p w:rsidR="00A81537" w:rsidRPr="008E1CC7" w:rsidRDefault="00A81537" w:rsidP="00FD64DD">
            <w:pPr>
              <w:jc w:val="left"/>
              <w:rPr>
                <w:rFonts w:ascii="Arial" w:hAnsi="Arial" w:cs="Arial"/>
                <w:szCs w:val="21"/>
              </w:rPr>
            </w:pPr>
          </w:p>
        </w:tc>
        <w:tc>
          <w:tcPr>
            <w:tcW w:w="1985" w:type="dxa"/>
            <w:tcBorders>
              <w:top w:val="single" w:sz="4" w:space="0" w:color="auto"/>
            </w:tcBorders>
            <w:noWrap/>
          </w:tcPr>
          <w:p w:rsidR="00A81537" w:rsidRPr="008E1CC7" w:rsidRDefault="0081402E" w:rsidP="00FD64DD">
            <w:pPr>
              <w:jc w:val="left"/>
              <w:rPr>
                <w:rFonts w:ascii="Arial" w:hAnsi="Arial" w:cs="Arial"/>
                <w:szCs w:val="21"/>
              </w:rPr>
            </w:pPr>
            <w:r w:rsidRPr="008E1CC7">
              <w:rPr>
                <w:rFonts w:ascii="Arial" w:hAnsi="Arial" w:cs="Arial"/>
                <w:szCs w:val="21"/>
              </w:rPr>
              <w:t>Zhang L 2012</w:t>
            </w:r>
          </w:p>
        </w:tc>
        <w:tc>
          <w:tcPr>
            <w:tcW w:w="992" w:type="dxa"/>
            <w:tcBorders>
              <w:top w:val="single" w:sz="4" w:space="0" w:color="auto"/>
            </w:tcBorders>
          </w:tcPr>
          <w:p w:rsidR="00A81537" w:rsidRPr="008E1CC7" w:rsidRDefault="0081402E" w:rsidP="00FD64DD">
            <w:pPr>
              <w:jc w:val="left"/>
              <w:rPr>
                <w:rFonts w:ascii="Arial" w:hAnsi="Arial" w:cs="Arial"/>
                <w:szCs w:val="21"/>
              </w:rPr>
            </w:pPr>
            <w:r w:rsidRPr="008E1CC7">
              <w:rPr>
                <w:rFonts w:ascii="Arial" w:hAnsi="Arial" w:cs="Arial"/>
                <w:szCs w:val="21"/>
              </w:rPr>
              <w:t>296</w:t>
            </w:r>
          </w:p>
        </w:tc>
        <w:tc>
          <w:tcPr>
            <w:tcW w:w="2126" w:type="dxa"/>
            <w:tcBorders>
              <w:top w:val="single" w:sz="4" w:space="0" w:color="auto"/>
            </w:tcBorders>
          </w:tcPr>
          <w:p w:rsidR="00A81537" w:rsidRPr="008E1CC7" w:rsidRDefault="0081402E" w:rsidP="00FD64DD">
            <w:pPr>
              <w:jc w:val="left"/>
              <w:rPr>
                <w:rFonts w:ascii="Arial" w:hAnsi="Arial" w:cs="Arial"/>
                <w:szCs w:val="21"/>
              </w:rPr>
            </w:pPr>
            <w:r w:rsidRPr="008E1CC7">
              <w:rPr>
                <w:rFonts w:ascii="Arial" w:hAnsi="Arial" w:cs="Arial"/>
                <w:szCs w:val="21"/>
              </w:rPr>
              <w:t>0/100/0</w:t>
            </w:r>
          </w:p>
        </w:tc>
        <w:tc>
          <w:tcPr>
            <w:tcW w:w="851" w:type="dxa"/>
            <w:tcBorders>
              <w:top w:val="single" w:sz="4" w:space="0" w:color="auto"/>
            </w:tcBorders>
          </w:tcPr>
          <w:p w:rsidR="00A81537" w:rsidRPr="008E1CC7" w:rsidRDefault="0081402E" w:rsidP="00FD64DD">
            <w:pPr>
              <w:jc w:val="left"/>
              <w:rPr>
                <w:rFonts w:ascii="Arial" w:hAnsi="Arial" w:cs="Arial"/>
                <w:szCs w:val="21"/>
              </w:rPr>
            </w:pPr>
            <w:r w:rsidRPr="008E1CC7">
              <w:rPr>
                <w:rFonts w:ascii="Arial" w:hAnsi="Arial" w:cs="Arial"/>
                <w:szCs w:val="21"/>
              </w:rPr>
              <w:t>55</w:t>
            </w:r>
          </w:p>
        </w:tc>
      </w:tr>
      <w:tr w:rsidR="00A81537" w:rsidRPr="008E1CC7" w:rsidTr="00A81537">
        <w:trPr>
          <w:trHeight w:val="285"/>
        </w:trPr>
        <w:tc>
          <w:tcPr>
            <w:tcW w:w="1951" w:type="dxa"/>
            <w:noWrap/>
          </w:tcPr>
          <w:p w:rsidR="00A81537" w:rsidRPr="008E1CC7" w:rsidRDefault="0081402E" w:rsidP="00A81537">
            <w:pPr>
              <w:jc w:val="left"/>
              <w:rPr>
                <w:rFonts w:ascii="Arial" w:hAnsi="Arial" w:cs="Arial"/>
                <w:szCs w:val="21"/>
              </w:rPr>
            </w:pPr>
            <w:r w:rsidRPr="008E1CC7">
              <w:rPr>
                <w:rFonts w:ascii="Arial" w:hAnsi="Arial" w:cs="Arial"/>
                <w:szCs w:val="21"/>
              </w:rPr>
              <w:t>EORTC 08021/ILCP 01/03</w:t>
            </w:r>
          </w:p>
        </w:tc>
        <w:tc>
          <w:tcPr>
            <w:tcW w:w="1985" w:type="dxa"/>
            <w:noWrap/>
          </w:tcPr>
          <w:p w:rsidR="00A81537" w:rsidRPr="008E1CC7" w:rsidRDefault="0081402E" w:rsidP="00FD64DD">
            <w:pPr>
              <w:jc w:val="left"/>
              <w:rPr>
                <w:rFonts w:ascii="Arial" w:hAnsi="Arial" w:cs="Arial"/>
                <w:szCs w:val="21"/>
              </w:rPr>
            </w:pPr>
            <w:proofErr w:type="spellStart"/>
            <w:r w:rsidRPr="008E1CC7">
              <w:rPr>
                <w:rFonts w:ascii="Arial" w:hAnsi="Arial" w:cs="Arial"/>
                <w:szCs w:val="21"/>
              </w:rPr>
              <w:t>Gaafar</w:t>
            </w:r>
            <w:proofErr w:type="spellEnd"/>
            <w:r w:rsidRPr="008E1CC7">
              <w:rPr>
                <w:rFonts w:ascii="Arial" w:hAnsi="Arial" w:cs="Arial"/>
                <w:szCs w:val="21"/>
              </w:rPr>
              <w:t xml:space="preserve"> RM 2011</w:t>
            </w:r>
          </w:p>
        </w:tc>
        <w:tc>
          <w:tcPr>
            <w:tcW w:w="992" w:type="dxa"/>
          </w:tcPr>
          <w:p w:rsidR="00A81537" w:rsidRPr="008E1CC7" w:rsidRDefault="0081402E" w:rsidP="00FD64DD">
            <w:pPr>
              <w:jc w:val="left"/>
              <w:rPr>
                <w:rFonts w:ascii="Arial" w:hAnsi="Arial" w:cs="Arial"/>
                <w:szCs w:val="21"/>
              </w:rPr>
            </w:pPr>
            <w:r w:rsidRPr="008E1CC7">
              <w:rPr>
                <w:rFonts w:ascii="Arial" w:hAnsi="Arial" w:cs="Arial"/>
                <w:szCs w:val="21"/>
              </w:rPr>
              <w:t>173</w:t>
            </w:r>
          </w:p>
        </w:tc>
        <w:tc>
          <w:tcPr>
            <w:tcW w:w="2126" w:type="dxa"/>
          </w:tcPr>
          <w:p w:rsidR="00A81537" w:rsidRPr="008E1CC7" w:rsidRDefault="0081402E" w:rsidP="00FD64DD">
            <w:pPr>
              <w:jc w:val="left"/>
              <w:rPr>
                <w:rFonts w:ascii="Arial" w:hAnsi="Arial" w:cs="Arial"/>
                <w:szCs w:val="21"/>
              </w:rPr>
            </w:pPr>
            <w:r w:rsidRPr="008E1CC7">
              <w:rPr>
                <w:rFonts w:ascii="Arial" w:hAnsi="Arial" w:cs="Arial"/>
                <w:szCs w:val="21"/>
              </w:rPr>
              <w:t>NR</w:t>
            </w:r>
          </w:p>
        </w:tc>
        <w:tc>
          <w:tcPr>
            <w:tcW w:w="851" w:type="dxa"/>
          </w:tcPr>
          <w:p w:rsidR="00A81537" w:rsidRPr="008E1CC7" w:rsidRDefault="0081402E" w:rsidP="00FD64DD">
            <w:pPr>
              <w:jc w:val="left"/>
              <w:rPr>
                <w:rFonts w:ascii="Arial" w:hAnsi="Arial" w:cs="Arial"/>
                <w:szCs w:val="21"/>
              </w:rPr>
            </w:pPr>
            <w:r w:rsidRPr="008E1CC7">
              <w:rPr>
                <w:rFonts w:ascii="Arial" w:hAnsi="Arial" w:cs="Arial"/>
                <w:szCs w:val="21"/>
              </w:rPr>
              <w:t>61</w:t>
            </w:r>
          </w:p>
        </w:tc>
      </w:tr>
      <w:tr w:rsidR="00A81537" w:rsidRPr="008E1CC7" w:rsidTr="00A81537">
        <w:trPr>
          <w:trHeight w:val="285"/>
        </w:trPr>
        <w:tc>
          <w:tcPr>
            <w:tcW w:w="1951" w:type="dxa"/>
            <w:noWrap/>
          </w:tcPr>
          <w:p w:rsidR="00A81537" w:rsidRPr="008E1CC7" w:rsidRDefault="0081402E" w:rsidP="00A81537">
            <w:pPr>
              <w:jc w:val="left"/>
              <w:rPr>
                <w:rFonts w:ascii="Arial" w:hAnsi="Arial" w:cs="Arial"/>
                <w:szCs w:val="21"/>
              </w:rPr>
            </w:pPr>
            <w:r w:rsidRPr="008E1CC7">
              <w:rPr>
                <w:rFonts w:ascii="Arial" w:hAnsi="Arial" w:cs="Arial"/>
                <w:szCs w:val="21"/>
              </w:rPr>
              <w:t xml:space="preserve">SATURN </w:t>
            </w:r>
          </w:p>
        </w:tc>
        <w:tc>
          <w:tcPr>
            <w:tcW w:w="1985" w:type="dxa"/>
            <w:noWrap/>
          </w:tcPr>
          <w:p w:rsidR="00A81537" w:rsidRPr="008E1CC7" w:rsidRDefault="0081402E" w:rsidP="00FD64DD">
            <w:pPr>
              <w:jc w:val="left"/>
              <w:rPr>
                <w:rFonts w:ascii="Arial" w:hAnsi="Arial" w:cs="Arial"/>
                <w:szCs w:val="21"/>
              </w:rPr>
            </w:pPr>
            <w:proofErr w:type="spellStart"/>
            <w:r w:rsidRPr="008E1CC7">
              <w:rPr>
                <w:rFonts w:ascii="Arial" w:hAnsi="Arial" w:cs="Arial"/>
                <w:szCs w:val="21"/>
              </w:rPr>
              <w:t>Cappuzzo</w:t>
            </w:r>
            <w:proofErr w:type="spellEnd"/>
            <w:r w:rsidRPr="008E1CC7">
              <w:rPr>
                <w:rFonts w:ascii="Arial" w:hAnsi="Arial" w:cs="Arial"/>
                <w:szCs w:val="21"/>
              </w:rPr>
              <w:t xml:space="preserve"> F 2010</w:t>
            </w:r>
          </w:p>
        </w:tc>
        <w:tc>
          <w:tcPr>
            <w:tcW w:w="992" w:type="dxa"/>
          </w:tcPr>
          <w:p w:rsidR="00A81537" w:rsidRPr="008E1CC7" w:rsidRDefault="0081402E" w:rsidP="00FD64DD">
            <w:pPr>
              <w:jc w:val="left"/>
              <w:rPr>
                <w:rFonts w:ascii="Arial" w:hAnsi="Arial" w:cs="Arial"/>
                <w:szCs w:val="21"/>
              </w:rPr>
            </w:pPr>
            <w:r w:rsidRPr="008E1CC7">
              <w:rPr>
                <w:rFonts w:ascii="Arial" w:hAnsi="Arial" w:cs="Arial"/>
                <w:szCs w:val="21"/>
              </w:rPr>
              <w:t>889</w:t>
            </w:r>
          </w:p>
        </w:tc>
        <w:tc>
          <w:tcPr>
            <w:tcW w:w="2126" w:type="dxa"/>
          </w:tcPr>
          <w:p w:rsidR="00A81537" w:rsidRPr="008E1CC7" w:rsidRDefault="0081402E" w:rsidP="00FD64DD">
            <w:pPr>
              <w:jc w:val="left"/>
              <w:rPr>
                <w:rFonts w:ascii="Arial" w:hAnsi="Arial" w:cs="Arial"/>
                <w:szCs w:val="21"/>
              </w:rPr>
            </w:pPr>
            <w:r w:rsidRPr="008E1CC7">
              <w:rPr>
                <w:rFonts w:ascii="Arial" w:hAnsi="Arial" w:cs="Arial"/>
                <w:szCs w:val="21"/>
              </w:rPr>
              <w:t>84/15/1</w:t>
            </w:r>
          </w:p>
        </w:tc>
        <w:tc>
          <w:tcPr>
            <w:tcW w:w="851" w:type="dxa"/>
          </w:tcPr>
          <w:p w:rsidR="00A81537" w:rsidRPr="008E1CC7" w:rsidRDefault="0081402E" w:rsidP="00FD64DD">
            <w:pPr>
              <w:jc w:val="left"/>
              <w:rPr>
                <w:rFonts w:ascii="Arial" w:hAnsi="Arial" w:cs="Arial"/>
                <w:szCs w:val="21"/>
              </w:rPr>
            </w:pPr>
            <w:r w:rsidRPr="008E1CC7">
              <w:rPr>
                <w:rFonts w:ascii="Arial" w:hAnsi="Arial" w:cs="Arial"/>
                <w:szCs w:val="21"/>
              </w:rPr>
              <w:t>60</w:t>
            </w:r>
          </w:p>
        </w:tc>
      </w:tr>
      <w:tr w:rsidR="00A81537" w:rsidRPr="008E1CC7" w:rsidTr="00A81537">
        <w:trPr>
          <w:trHeight w:val="285"/>
        </w:trPr>
        <w:tc>
          <w:tcPr>
            <w:tcW w:w="1951" w:type="dxa"/>
            <w:noWrap/>
          </w:tcPr>
          <w:p w:rsidR="00A81537" w:rsidRPr="008E1CC7" w:rsidRDefault="0081402E" w:rsidP="00A81537">
            <w:pPr>
              <w:jc w:val="left"/>
              <w:rPr>
                <w:rFonts w:ascii="Arial" w:hAnsi="Arial" w:cs="Arial"/>
                <w:szCs w:val="21"/>
              </w:rPr>
            </w:pPr>
            <w:r w:rsidRPr="008E1CC7">
              <w:rPr>
                <w:rFonts w:ascii="Arial" w:hAnsi="Arial" w:cs="Arial"/>
                <w:szCs w:val="21"/>
              </w:rPr>
              <w:t>IFCT-GFPC 0502</w:t>
            </w:r>
          </w:p>
        </w:tc>
        <w:tc>
          <w:tcPr>
            <w:tcW w:w="1985" w:type="dxa"/>
            <w:noWrap/>
          </w:tcPr>
          <w:p w:rsidR="00A81537" w:rsidRPr="008E1CC7" w:rsidRDefault="0081402E" w:rsidP="00FD64DD">
            <w:pPr>
              <w:jc w:val="left"/>
              <w:rPr>
                <w:rFonts w:ascii="Arial" w:hAnsi="Arial" w:cs="Arial"/>
                <w:szCs w:val="21"/>
              </w:rPr>
            </w:pPr>
            <w:proofErr w:type="spellStart"/>
            <w:r w:rsidRPr="008E1CC7">
              <w:rPr>
                <w:rFonts w:ascii="Arial" w:hAnsi="Arial" w:cs="Arial"/>
                <w:szCs w:val="21"/>
              </w:rPr>
              <w:t>Perol.M</w:t>
            </w:r>
            <w:proofErr w:type="spellEnd"/>
            <w:r w:rsidRPr="008E1CC7">
              <w:rPr>
                <w:rFonts w:ascii="Arial" w:hAnsi="Arial" w:cs="Arial"/>
                <w:szCs w:val="21"/>
              </w:rPr>
              <w:t xml:space="preserve"> 2012</w:t>
            </w:r>
          </w:p>
        </w:tc>
        <w:tc>
          <w:tcPr>
            <w:tcW w:w="992" w:type="dxa"/>
          </w:tcPr>
          <w:p w:rsidR="00A81537" w:rsidRPr="008E1CC7" w:rsidRDefault="0081402E" w:rsidP="00FD64DD">
            <w:pPr>
              <w:jc w:val="left"/>
              <w:rPr>
                <w:rFonts w:ascii="Arial" w:hAnsi="Arial" w:cs="Arial"/>
                <w:szCs w:val="21"/>
              </w:rPr>
            </w:pPr>
            <w:r w:rsidRPr="008E1CC7">
              <w:rPr>
                <w:rFonts w:ascii="Arial" w:hAnsi="Arial" w:cs="Arial"/>
                <w:szCs w:val="21"/>
              </w:rPr>
              <w:t>310</w:t>
            </w:r>
          </w:p>
        </w:tc>
        <w:tc>
          <w:tcPr>
            <w:tcW w:w="2126" w:type="dxa"/>
          </w:tcPr>
          <w:p w:rsidR="00A81537" w:rsidRPr="008E1CC7" w:rsidRDefault="0081402E" w:rsidP="00FD64DD">
            <w:pPr>
              <w:jc w:val="left"/>
              <w:rPr>
                <w:rFonts w:ascii="Arial" w:hAnsi="Arial" w:cs="Arial"/>
                <w:szCs w:val="21"/>
              </w:rPr>
            </w:pPr>
            <w:r w:rsidRPr="008E1CC7">
              <w:rPr>
                <w:rFonts w:ascii="Arial" w:hAnsi="Arial" w:cs="Arial"/>
                <w:szCs w:val="21"/>
              </w:rPr>
              <w:t>NR</w:t>
            </w:r>
          </w:p>
        </w:tc>
        <w:tc>
          <w:tcPr>
            <w:tcW w:w="851" w:type="dxa"/>
          </w:tcPr>
          <w:p w:rsidR="00A81537" w:rsidRPr="008E1CC7" w:rsidRDefault="0081402E" w:rsidP="00FD64DD">
            <w:pPr>
              <w:jc w:val="left"/>
              <w:rPr>
                <w:rFonts w:ascii="Arial" w:hAnsi="Arial" w:cs="Arial"/>
                <w:szCs w:val="21"/>
              </w:rPr>
            </w:pPr>
            <w:r w:rsidRPr="008E1CC7">
              <w:rPr>
                <w:rFonts w:ascii="Arial" w:hAnsi="Arial" w:cs="Arial"/>
                <w:szCs w:val="21"/>
              </w:rPr>
              <w:t>58</w:t>
            </w:r>
          </w:p>
        </w:tc>
      </w:tr>
      <w:tr w:rsidR="00A81537" w:rsidRPr="008E1CC7" w:rsidTr="00A81537">
        <w:trPr>
          <w:trHeight w:val="270"/>
        </w:trPr>
        <w:tc>
          <w:tcPr>
            <w:tcW w:w="1951" w:type="dxa"/>
            <w:noWrap/>
          </w:tcPr>
          <w:p w:rsidR="00A81537" w:rsidRPr="008E1CC7" w:rsidRDefault="0081402E" w:rsidP="00A81537">
            <w:pPr>
              <w:jc w:val="left"/>
              <w:rPr>
                <w:rFonts w:ascii="Arial" w:hAnsi="Arial" w:cs="Arial"/>
                <w:szCs w:val="21"/>
              </w:rPr>
            </w:pPr>
            <w:r w:rsidRPr="008E1CC7">
              <w:rPr>
                <w:rFonts w:ascii="Arial" w:hAnsi="Arial" w:cs="Arial"/>
                <w:szCs w:val="21"/>
              </w:rPr>
              <w:t xml:space="preserve">ATLAS </w:t>
            </w:r>
          </w:p>
        </w:tc>
        <w:tc>
          <w:tcPr>
            <w:tcW w:w="1985" w:type="dxa"/>
            <w:noWrap/>
          </w:tcPr>
          <w:p w:rsidR="00A81537" w:rsidRPr="008E1CC7" w:rsidRDefault="0081402E" w:rsidP="00FD64DD">
            <w:pPr>
              <w:jc w:val="left"/>
              <w:rPr>
                <w:rFonts w:ascii="Arial" w:hAnsi="Arial" w:cs="Arial"/>
                <w:szCs w:val="21"/>
              </w:rPr>
            </w:pPr>
            <w:proofErr w:type="spellStart"/>
            <w:r w:rsidRPr="008E1CC7">
              <w:rPr>
                <w:rFonts w:ascii="Arial" w:hAnsi="Arial" w:cs="Arial"/>
                <w:szCs w:val="21"/>
              </w:rPr>
              <w:t>Kabbinavar</w:t>
            </w:r>
            <w:proofErr w:type="spellEnd"/>
            <w:r w:rsidRPr="008E1CC7">
              <w:rPr>
                <w:rFonts w:ascii="Arial" w:hAnsi="Arial" w:cs="Arial"/>
                <w:szCs w:val="21"/>
              </w:rPr>
              <w:t xml:space="preserve"> FF 2010</w:t>
            </w:r>
          </w:p>
        </w:tc>
        <w:tc>
          <w:tcPr>
            <w:tcW w:w="992" w:type="dxa"/>
          </w:tcPr>
          <w:p w:rsidR="00A81537" w:rsidRPr="008E1CC7" w:rsidRDefault="0081402E" w:rsidP="00FD64DD">
            <w:pPr>
              <w:jc w:val="left"/>
              <w:rPr>
                <w:rFonts w:ascii="Arial" w:hAnsi="Arial" w:cs="Arial"/>
                <w:szCs w:val="21"/>
              </w:rPr>
            </w:pPr>
            <w:r w:rsidRPr="008E1CC7">
              <w:rPr>
                <w:rFonts w:ascii="Arial" w:hAnsi="Arial" w:cs="Arial"/>
                <w:szCs w:val="21"/>
              </w:rPr>
              <w:t>768</w:t>
            </w:r>
          </w:p>
        </w:tc>
        <w:tc>
          <w:tcPr>
            <w:tcW w:w="2126" w:type="dxa"/>
          </w:tcPr>
          <w:p w:rsidR="00A81537" w:rsidRPr="008E1CC7" w:rsidRDefault="0081402E" w:rsidP="00FD64DD">
            <w:pPr>
              <w:jc w:val="left"/>
              <w:rPr>
                <w:rFonts w:ascii="Arial" w:hAnsi="Arial" w:cs="Arial"/>
                <w:szCs w:val="21"/>
              </w:rPr>
            </w:pPr>
            <w:r w:rsidRPr="008E1CC7">
              <w:rPr>
                <w:rFonts w:ascii="Arial" w:hAnsi="Arial" w:cs="Arial"/>
                <w:szCs w:val="21"/>
              </w:rPr>
              <w:t>78/12/10</w:t>
            </w:r>
          </w:p>
        </w:tc>
        <w:tc>
          <w:tcPr>
            <w:tcW w:w="851" w:type="dxa"/>
          </w:tcPr>
          <w:p w:rsidR="00A81537" w:rsidRPr="008E1CC7" w:rsidRDefault="0081402E" w:rsidP="00FD64DD">
            <w:pPr>
              <w:jc w:val="left"/>
              <w:rPr>
                <w:rFonts w:ascii="Arial" w:hAnsi="Arial" w:cs="Arial"/>
                <w:szCs w:val="21"/>
              </w:rPr>
            </w:pPr>
            <w:r w:rsidRPr="008E1CC7">
              <w:rPr>
                <w:rFonts w:ascii="Arial" w:hAnsi="Arial" w:cs="Arial"/>
                <w:szCs w:val="21"/>
              </w:rPr>
              <w:t>64</w:t>
            </w:r>
          </w:p>
        </w:tc>
      </w:tr>
    </w:tbl>
    <w:p w:rsidR="00A81537" w:rsidRPr="008E1CC7" w:rsidRDefault="00A81537" w:rsidP="00BE3885">
      <w:pPr>
        <w:pStyle w:val="a5"/>
        <w:shd w:val="clear" w:color="auto" w:fill="FFFFFF"/>
        <w:spacing w:before="0" w:beforeAutospacing="0" w:after="90" w:afterAutospacing="0"/>
        <w:rPr>
          <w:rFonts w:ascii="Arial" w:hAnsi="Arial" w:cs="Arial"/>
          <w:color w:val="000000"/>
          <w:sz w:val="21"/>
          <w:szCs w:val="21"/>
        </w:rPr>
      </w:pPr>
    </w:p>
    <w:p w:rsidR="00A81537" w:rsidRPr="008E1CC7" w:rsidRDefault="0081402E" w:rsidP="00BE3885">
      <w:pPr>
        <w:pStyle w:val="a5"/>
        <w:shd w:val="clear" w:color="auto" w:fill="FFFFFF"/>
        <w:spacing w:before="0" w:beforeAutospacing="0" w:after="90" w:afterAutospacing="0"/>
        <w:rPr>
          <w:rFonts w:ascii="Arial" w:hAnsi="Arial" w:cs="Arial"/>
          <w:color w:val="000000"/>
          <w:sz w:val="21"/>
          <w:szCs w:val="21"/>
        </w:rPr>
      </w:pPr>
      <w:r w:rsidRPr="008E1CC7">
        <w:rPr>
          <w:rFonts w:ascii="Arial" w:hAnsi="Arial" w:cs="Arial"/>
          <w:b/>
          <w:color w:val="000000"/>
          <w:sz w:val="21"/>
          <w:szCs w:val="21"/>
        </w:rPr>
        <w:t xml:space="preserve">Data collection: </w:t>
      </w:r>
      <w:r w:rsidRPr="008E1CC7">
        <w:rPr>
          <w:rFonts w:ascii="Arial" w:hAnsi="Arial" w:cs="Arial"/>
          <w:color w:val="000000"/>
          <w:sz w:val="21"/>
          <w:szCs w:val="21"/>
        </w:rPr>
        <w:t xml:space="preserve">Dr. </w:t>
      </w:r>
      <w:proofErr w:type="spellStart"/>
      <w:r w:rsidRPr="008E1CC7">
        <w:rPr>
          <w:rFonts w:ascii="Arial" w:hAnsi="Arial" w:cs="Arial"/>
          <w:color w:val="000000"/>
          <w:sz w:val="21"/>
          <w:szCs w:val="21"/>
        </w:rPr>
        <w:t>Xiaofeng</w:t>
      </w:r>
      <w:proofErr w:type="spellEnd"/>
      <w:r w:rsidRPr="008E1CC7">
        <w:rPr>
          <w:rFonts w:ascii="Arial" w:hAnsi="Arial" w:cs="Arial"/>
          <w:color w:val="000000"/>
          <w:sz w:val="21"/>
          <w:szCs w:val="21"/>
        </w:rPr>
        <w:t xml:space="preserve"> Chen and Dr. </w:t>
      </w:r>
      <w:proofErr w:type="spellStart"/>
      <w:r w:rsidRPr="008E1CC7">
        <w:rPr>
          <w:rFonts w:ascii="Arial" w:hAnsi="Arial" w:cs="Arial"/>
          <w:color w:val="000000"/>
          <w:sz w:val="21"/>
          <w:szCs w:val="21"/>
        </w:rPr>
        <w:t>Yiqian</w:t>
      </w:r>
      <w:proofErr w:type="spellEnd"/>
      <w:r w:rsidRPr="008E1CC7">
        <w:rPr>
          <w:rFonts w:ascii="Arial" w:hAnsi="Arial" w:cs="Arial"/>
          <w:color w:val="000000"/>
          <w:sz w:val="21"/>
          <w:szCs w:val="21"/>
        </w:rPr>
        <w:t xml:space="preserve"> Liu will collect the data using the standardized data compilation forms. Disagreements were resolved by discussion. When the data we need are not available from the published paper, </w:t>
      </w:r>
      <w:proofErr w:type="spellStart"/>
      <w:r w:rsidRPr="008E1CC7">
        <w:rPr>
          <w:rFonts w:ascii="Arial" w:hAnsi="Arial" w:cs="Arial"/>
          <w:color w:val="000000"/>
          <w:sz w:val="21"/>
          <w:szCs w:val="21"/>
        </w:rPr>
        <w:t>Xiaofeng</w:t>
      </w:r>
      <w:proofErr w:type="spellEnd"/>
      <w:r w:rsidRPr="008E1CC7">
        <w:rPr>
          <w:rFonts w:ascii="Arial" w:hAnsi="Arial" w:cs="Arial"/>
          <w:color w:val="000000"/>
          <w:sz w:val="21"/>
          <w:szCs w:val="21"/>
        </w:rPr>
        <w:t xml:space="preserve"> Chen is responsible for contacting the primary investigators to get their help. </w:t>
      </w:r>
    </w:p>
    <w:p w:rsidR="00A81537" w:rsidRPr="008E1CC7" w:rsidRDefault="00A81537" w:rsidP="00BE3885">
      <w:pPr>
        <w:pStyle w:val="a5"/>
        <w:shd w:val="clear" w:color="auto" w:fill="FFFFFF"/>
        <w:spacing w:before="0" w:beforeAutospacing="0" w:after="90" w:afterAutospacing="0"/>
        <w:rPr>
          <w:rFonts w:ascii="Arial" w:hAnsi="Arial" w:cs="Arial"/>
          <w:color w:val="000000"/>
          <w:sz w:val="21"/>
          <w:szCs w:val="21"/>
        </w:rPr>
      </w:pPr>
    </w:p>
    <w:p w:rsidR="00A81537" w:rsidRPr="008E1CC7" w:rsidRDefault="0081402E" w:rsidP="00BE3885">
      <w:pPr>
        <w:pStyle w:val="a5"/>
        <w:shd w:val="clear" w:color="auto" w:fill="FFFFFF"/>
        <w:spacing w:before="0" w:beforeAutospacing="0" w:after="90" w:afterAutospacing="0"/>
        <w:rPr>
          <w:rFonts w:ascii="Arial" w:hAnsi="Arial" w:cs="Arial"/>
          <w:color w:val="000000"/>
          <w:sz w:val="21"/>
          <w:szCs w:val="21"/>
        </w:rPr>
      </w:pPr>
      <w:r w:rsidRPr="008E1CC7">
        <w:rPr>
          <w:rFonts w:ascii="Arial" w:hAnsi="Arial" w:cs="Arial"/>
          <w:b/>
          <w:color w:val="000000"/>
          <w:sz w:val="21"/>
          <w:szCs w:val="21"/>
        </w:rPr>
        <w:t>Extracted data:</w:t>
      </w:r>
      <w:r w:rsidRPr="008E1CC7">
        <w:rPr>
          <w:rFonts w:ascii="Arial" w:hAnsi="Arial" w:cs="Arial"/>
          <w:color w:val="000000"/>
          <w:sz w:val="21"/>
          <w:szCs w:val="21"/>
        </w:rPr>
        <w:t xml:space="preserve"> the first author, year of publication, number of patients, median age, percentage of smoker, percentage of adenocarcinoma, primary endpoint, percentage of known EGFR status, percentage of EGFR mutation and data related to the clinical outcomes such as objective response rate (ORR), progression free survival (PFS), overall survival (OS), adverse events (AE). For PFS, OS, the p value and hazard ration as well as the 95% confidence intervals will be also extracted. </w:t>
      </w:r>
    </w:p>
    <w:p w:rsidR="00A81537" w:rsidRPr="008E1CC7" w:rsidRDefault="00A81537" w:rsidP="00BE3885">
      <w:pPr>
        <w:pStyle w:val="a5"/>
        <w:shd w:val="clear" w:color="auto" w:fill="FFFFFF"/>
        <w:spacing w:before="0" w:beforeAutospacing="0" w:after="90" w:afterAutospacing="0"/>
        <w:rPr>
          <w:rFonts w:ascii="Arial" w:hAnsi="Arial" w:cs="Arial"/>
          <w:b/>
          <w:color w:val="000000"/>
          <w:sz w:val="21"/>
          <w:szCs w:val="21"/>
        </w:rPr>
      </w:pPr>
    </w:p>
    <w:p w:rsidR="00191912" w:rsidRDefault="0081402E" w:rsidP="00BE3885">
      <w:pPr>
        <w:pStyle w:val="a5"/>
        <w:shd w:val="clear" w:color="auto" w:fill="FFFFFF"/>
        <w:spacing w:before="0" w:beforeAutospacing="0" w:after="90" w:afterAutospacing="0"/>
        <w:rPr>
          <w:rFonts w:ascii="Arial" w:hAnsi="Arial" w:cs="Arial" w:hint="eastAsia"/>
          <w:color w:val="000000"/>
          <w:sz w:val="21"/>
          <w:szCs w:val="21"/>
        </w:rPr>
      </w:pPr>
      <w:r w:rsidRPr="008E1CC7">
        <w:rPr>
          <w:rFonts w:ascii="Arial" w:hAnsi="Arial" w:cs="Arial"/>
          <w:b/>
          <w:color w:val="000000"/>
          <w:sz w:val="21"/>
          <w:szCs w:val="21"/>
        </w:rPr>
        <w:lastRenderedPageBreak/>
        <w:t>Predefined subgroups for OS and PFS:</w:t>
      </w:r>
      <w:r w:rsidRPr="008E1CC7">
        <w:rPr>
          <w:rFonts w:ascii="Arial" w:hAnsi="Arial" w:cs="Arial"/>
          <w:color w:val="000000"/>
          <w:sz w:val="21"/>
          <w:szCs w:val="21"/>
        </w:rPr>
        <w:t xml:space="preserve"> Stage, sex, ethnic, performance status, pathological type, EGFR status, previous response to induction chemotherapy. </w:t>
      </w:r>
    </w:p>
    <w:p w:rsidR="003703F3" w:rsidRPr="008E1CC7" w:rsidRDefault="003703F3" w:rsidP="00BE3885">
      <w:pPr>
        <w:pStyle w:val="a5"/>
        <w:shd w:val="clear" w:color="auto" w:fill="FFFFFF"/>
        <w:spacing w:before="0" w:beforeAutospacing="0" w:after="90" w:afterAutospacing="0"/>
        <w:rPr>
          <w:rFonts w:ascii="Arial" w:hAnsi="Arial" w:cs="Arial"/>
          <w:color w:val="000000"/>
          <w:sz w:val="21"/>
          <w:szCs w:val="21"/>
        </w:rPr>
      </w:pPr>
    </w:p>
    <w:p w:rsidR="007B4885" w:rsidRPr="008E1CC7" w:rsidRDefault="0081402E" w:rsidP="002D3EAB">
      <w:pPr>
        <w:rPr>
          <w:rFonts w:ascii="Arial" w:eastAsia="宋体" w:hAnsi="Arial" w:cs="Arial"/>
          <w:color w:val="000000"/>
          <w:kern w:val="0"/>
          <w:szCs w:val="21"/>
        </w:rPr>
      </w:pPr>
      <w:r w:rsidRPr="008E1CC7">
        <w:rPr>
          <w:rFonts w:ascii="Arial" w:hAnsi="Arial" w:cs="Arial"/>
          <w:b/>
          <w:color w:val="000000"/>
          <w:szCs w:val="21"/>
        </w:rPr>
        <w:t xml:space="preserve">Analysis: </w:t>
      </w:r>
      <w:r w:rsidRPr="008E1CC7">
        <w:rPr>
          <w:rFonts w:ascii="Arial" w:eastAsia="宋体" w:hAnsi="Arial" w:cs="Arial"/>
          <w:kern w:val="0"/>
          <w:szCs w:val="21"/>
        </w:rPr>
        <w:t>the analysis will not be based on individual patient level. The PFS and OS will be estimated by collection of HRs with 95% Confidence</w:t>
      </w:r>
      <w:r w:rsidR="007B4885" w:rsidRPr="008E1CC7">
        <w:rPr>
          <w:rFonts w:ascii="Arial" w:eastAsia="宋体" w:hAnsi="Arial" w:cs="Arial"/>
          <w:color w:val="000000"/>
          <w:kern w:val="0"/>
          <w:szCs w:val="21"/>
        </w:rPr>
        <w:t xml:space="preserve"> Intervals (CIs) which were mentioned in the original publications. The pooled risk ratio (RR) for ORR will be calculated from the number of events and the number of patients at risk in each group.</w:t>
      </w:r>
      <w:r w:rsidR="002D3EAB" w:rsidRPr="008E1CC7">
        <w:rPr>
          <w:rFonts w:ascii="Arial" w:eastAsia="宋体" w:hAnsi="Arial" w:cs="Arial"/>
          <w:color w:val="000000"/>
          <w:kern w:val="0"/>
          <w:szCs w:val="21"/>
        </w:rPr>
        <w:t xml:space="preserve"> </w:t>
      </w:r>
      <w:r w:rsidR="007B4885" w:rsidRPr="008E1CC7">
        <w:rPr>
          <w:rFonts w:ascii="Arial" w:eastAsia="宋体" w:hAnsi="Arial" w:cs="Arial"/>
          <w:color w:val="000000"/>
          <w:kern w:val="0"/>
          <w:szCs w:val="21"/>
        </w:rPr>
        <w:t>The heterogeneity of the studies</w:t>
      </w:r>
      <w:r w:rsidR="00EA4CF1" w:rsidRPr="008E1CC7">
        <w:rPr>
          <w:rFonts w:ascii="Arial" w:eastAsia="宋体" w:hAnsi="Arial" w:cs="Arial"/>
          <w:color w:val="000000"/>
          <w:kern w:val="0"/>
          <w:szCs w:val="21"/>
        </w:rPr>
        <w:t xml:space="preserve"> is</w:t>
      </w:r>
      <w:r w:rsidRPr="008E1CC7">
        <w:rPr>
          <w:rFonts w:ascii="Arial" w:eastAsia="宋体" w:hAnsi="Arial" w:cs="Arial"/>
          <w:color w:val="000000"/>
          <w:kern w:val="0"/>
          <w:szCs w:val="21"/>
        </w:rPr>
        <w:t xml:space="preserve"> tested and a P&lt;0.1 defined as </w:t>
      </w:r>
      <w:proofErr w:type="spellStart"/>
      <w:r w:rsidRPr="008E1CC7">
        <w:rPr>
          <w:rFonts w:ascii="Arial" w:eastAsia="宋体" w:hAnsi="Arial" w:cs="Arial"/>
          <w:color w:val="000000"/>
          <w:kern w:val="0"/>
          <w:szCs w:val="21"/>
        </w:rPr>
        <w:t>heterogenous</w:t>
      </w:r>
      <w:proofErr w:type="spellEnd"/>
      <w:r w:rsidRPr="008E1CC7">
        <w:rPr>
          <w:rFonts w:ascii="Arial" w:eastAsia="宋体" w:hAnsi="Arial" w:cs="Arial"/>
          <w:color w:val="000000"/>
          <w:kern w:val="0"/>
          <w:szCs w:val="21"/>
        </w:rPr>
        <w:t xml:space="preserve">. A fixed-effect model (Mantel </w:t>
      </w:r>
      <w:proofErr w:type="spellStart"/>
      <w:r w:rsidRPr="008E1CC7">
        <w:rPr>
          <w:rFonts w:ascii="Arial" w:eastAsia="宋体" w:hAnsi="Arial" w:cs="Arial"/>
          <w:color w:val="000000"/>
          <w:kern w:val="0"/>
          <w:szCs w:val="21"/>
        </w:rPr>
        <w:t>Haenszel</w:t>
      </w:r>
      <w:proofErr w:type="spellEnd"/>
      <w:r w:rsidRPr="008E1CC7">
        <w:rPr>
          <w:rFonts w:ascii="Arial" w:eastAsia="宋体" w:hAnsi="Arial" w:cs="Arial"/>
          <w:color w:val="000000"/>
          <w:kern w:val="0"/>
          <w:szCs w:val="21"/>
        </w:rPr>
        <w:t xml:space="preserve">) will be applied in case of absence of heterogeneity between studies and otherwise a random-effect model will be performed. The software used is </w:t>
      </w:r>
      <w:proofErr w:type="spellStart"/>
      <w:r w:rsidRPr="008E1CC7">
        <w:rPr>
          <w:rFonts w:ascii="Arial" w:eastAsia="宋体" w:hAnsi="Arial" w:cs="Arial"/>
          <w:color w:val="000000"/>
          <w:kern w:val="0"/>
          <w:szCs w:val="21"/>
        </w:rPr>
        <w:t>Stata</w:t>
      </w:r>
      <w:proofErr w:type="spellEnd"/>
      <w:r w:rsidRPr="008E1CC7">
        <w:rPr>
          <w:rFonts w:ascii="Arial" w:eastAsia="宋体" w:hAnsi="Arial" w:cs="Arial"/>
          <w:color w:val="000000"/>
          <w:kern w:val="0"/>
          <w:szCs w:val="21"/>
        </w:rPr>
        <w:t xml:space="preserve"> (version 11, </w:t>
      </w:r>
      <w:proofErr w:type="spellStart"/>
      <w:r w:rsidR="001B7CFF" w:rsidRPr="008E1CC7">
        <w:rPr>
          <w:rFonts w:ascii="Arial" w:eastAsia="宋体" w:hAnsi="Arial" w:cs="Arial"/>
          <w:color w:val="000000"/>
          <w:kern w:val="0"/>
          <w:szCs w:val="21"/>
        </w:rPr>
        <w:t>S</w:t>
      </w:r>
      <w:bookmarkStart w:id="2" w:name="_GoBack"/>
      <w:bookmarkEnd w:id="2"/>
      <w:r w:rsidR="007B4885" w:rsidRPr="008E1CC7">
        <w:rPr>
          <w:rFonts w:ascii="Arial" w:eastAsia="宋体" w:hAnsi="Arial" w:cs="Arial"/>
          <w:color w:val="000000"/>
          <w:kern w:val="0"/>
          <w:szCs w:val="21"/>
        </w:rPr>
        <w:t>tata</w:t>
      </w:r>
      <w:proofErr w:type="spellEnd"/>
      <w:r w:rsidR="007B4885" w:rsidRPr="008E1CC7">
        <w:rPr>
          <w:rFonts w:ascii="Arial" w:eastAsia="宋体" w:hAnsi="Arial" w:cs="Arial"/>
          <w:color w:val="000000"/>
          <w:kern w:val="0"/>
          <w:szCs w:val="21"/>
        </w:rPr>
        <w:t>, USA).</w:t>
      </w:r>
    </w:p>
    <w:p w:rsidR="00A174DD" w:rsidRPr="008E1CC7" w:rsidRDefault="00A174DD" w:rsidP="002D3EAB">
      <w:pPr>
        <w:rPr>
          <w:rFonts w:ascii="Arial" w:eastAsia="宋体" w:hAnsi="Arial" w:cs="Arial"/>
          <w:color w:val="000000"/>
          <w:kern w:val="0"/>
          <w:szCs w:val="21"/>
        </w:rPr>
      </w:pPr>
    </w:p>
    <w:sectPr w:rsidR="00A174DD" w:rsidRPr="008E1CC7" w:rsidSect="007A53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1F5" w:rsidRDefault="00BF11F5" w:rsidP="00BE3885">
      <w:r>
        <w:separator/>
      </w:r>
    </w:p>
  </w:endnote>
  <w:endnote w:type="continuationSeparator" w:id="0">
    <w:p w:rsidR="00BF11F5" w:rsidRDefault="00BF11F5" w:rsidP="00BE3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eworthy Light">
    <w:altName w:val="Eras Light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1F5" w:rsidRDefault="00BF11F5" w:rsidP="00BE3885">
      <w:r>
        <w:separator/>
      </w:r>
    </w:p>
  </w:footnote>
  <w:footnote w:type="continuationSeparator" w:id="0">
    <w:p w:rsidR="00BF11F5" w:rsidRDefault="00BF11F5" w:rsidP="00BE38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3885"/>
    <w:rsid w:val="00010516"/>
    <w:rsid w:val="000302DF"/>
    <w:rsid w:val="000E6ED5"/>
    <w:rsid w:val="000F6E9D"/>
    <w:rsid w:val="00141AD1"/>
    <w:rsid w:val="00191912"/>
    <w:rsid w:val="001B7CFF"/>
    <w:rsid w:val="00267BB5"/>
    <w:rsid w:val="002B6255"/>
    <w:rsid w:val="002D3EAB"/>
    <w:rsid w:val="00334533"/>
    <w:rsid w:val="00334D80"/>
    <w:rsid w:val="003703F3"/>
    <w:rsid w:val="003A3436"/>
    <w:rsid w:val="003C11FC"/>
    <w:rsid w:val="003F2587"/>
    <w:rsid w:val="0063628B"/>
    <w:rsid w:val="006D7AD4"/>
    <w:rsid w:val="007A53E5"/>
    <w:rsid w:val="007B4885"/>
    <w:rsid w:val="0081402E"/>
    <w:rsid w:val="00835077"/>
    <w:rsid w:val="00860955"/>
    <w:rsid w:val="00880D18"/>
    <w:rsid w:val="008861BE"/>
    <w:rsid w:val="008D6440"/>
    <w:rsid w:val="008E1CC7"/>
    <w:rsid w:val="008E5085"/>
    <w:rsid w:val="00923BCD"/>
    <w:rsid w:val="009505BC"/>
    <w:rsid w:val="00A174DD"/>
    <w:rsid w:val="00A23F84"/>
    <w:rsid w:val="00A81537"/>
    <w:rsid w:val="00AA25B6"/>
    <w:rsid w:val="00BE3885"/>
    <w:rsid w:val="00BF11F5"/>
    <w:rsid w:val="00C31251"/>
    <w:rsid w:val="00C31425"/>
    <w:rsid w:val="00C44EC1"/>
    <w:rsid w:val="00CE016B"/>
    <w:rsid w:val="00CE1F2B"/>
    <w:rsid w:val="00CE5465"/>
    <w:rsid w:val="00DA0ABD"/>
    <w:rsid w:val="00E12CB8"/>
    <w:rsid w:val="00E83D13"/>
    <w:rsid w:val="00EA4CF1"/>
    <w:rsid w:val="00FB1865"/>
    <w:rsid w:val="00FD6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3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3885"/>
    <w:rPr>
      <w:sz w:val="18"/>
      <w:szCs w:val="18"/>
    </w:rPr>
  </w:style>
  <w:style w:type="paragraph" w:styleId="a4">
    <w:name w:val="footer"/>
    <w:basedOn w:val="a"/>
    <w:link w:val="Char0"/>
    <w:uiPriority w:val="99"/>
    <w:semiHidden/>
    <w:unhideWhenUsed/>
    <w:rsid w:val="00BE38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3885"/>
    <w:rPr>
      <w:sz w:val="18"/>
      <w:szCs w:val="18"/>
    </w:rPr>
  </w:style>
  <w:style w:type="character" w:customStyle="1" w:styleId="apple-converted-space">
    <w:name w:val="apple-converted-space"/>
    <w:basedOn w:val="a0"/>
    <w:rsid w:val="00BE3885"/>
  </w:style>
  <w:style w:type="paragraph" w:styleId="a5">
    <w:name w:val="Normal (Web)"/>
    <w:basedOn w:val="a"/>
    <w:uiPriority w:val="99"/>
    <w:semiHidden/>
    <w:unhideWhenUsed/>
    <w:rsid w:val="00BE3885"/>
    <w:pPr>
      <w:widowControl/>
      <w:spacing w:before="100" w:beforeAutospacing="1" w:after="100" w:afterAutospacing="1"/>
      <w:jc w:val="left"/>
    </w:pPr>
    <w:rPr>
      <w:rFonts w:ascii="宋体" w:eastAsia="宋体" w:hAnsi="宋体" w:cs="宋体"/>
      <w:kern w:val="0"/>
      <w:sz w:val="24"/>
      <w:szCs w:val="24"/>
    </w:rPr>
  </w:style>
  <w:style w:type="paragraph" w:customStyle="1" w:styleId="bulleted">
    <w:name w:val="bulleted"/>
    <w:basedOn w:val="a"/>
    <w:rsid w:val="00BE3885"/>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63628B"/>
    <w:rPr>
      <w:sz w:val="21"/>
      <w:szCs w:val="21"/>
    </w:rPr>
  </w:style>
  <w:style w:type="paragraph" w:styleId="a7">
    <w:name w:val="annotation text"/>
    <w:basedOn w:val="a"/>
    <w:link w:val="Char1"/>
    <w:uiPriority w:val="99"/>
    <w:semiHidden/>
    <w:unhideWhenUsed/>
    <w:rsid w:val="0063628B"/>
    <w:pPr>
      <w:jc w:val="left"/>
    </w:pPr>
  </w:style>
  <w:style w:type="character" w:customStyle="1" w:styleId="Char1">
    <w:name w:val="批注文字 Char"/>
    <w:basedOn w:val="a0"/>
    <w:link w:val="a7"/>
    <w:uiPriority w:val="99"/>
    <w:semiHidden/>
    <w:rsid w:val="0063628B"/>
  </w:style>
  <w:style w:type="paragraph" w:styleId="a8">
    <w:name w:val="annotation subject"/>
    <w:basedOn w:val="a7"/>
    <w:next w:val="a7"/>
    <w:link w:val="Char2"/>
    <w:uiPriority w:val="99"/>
    <w:semiHidden/>
    <w:unhideWhenUsed/>
    <w:rsid w:val="0063628B"/>
    <w:rPr>
      <w:b/>
      <w:bCs/>
    </w:rPr>
  </w:style>
  <w:style w:type="character" w:customStyle="1" w:styleId="Char2">
    <w:name w:val="批注主题 Char"/>
    <w:basedOn w:val="Char1"/>
    <w:link w:val="a8"/>
    <w:uiPriority w:val="99"/>
    <w:semiHidden/>
    <w:rsid w:val="0063628B"/>
    <w:rPr>
      <w:b/>
      <w:bCs/>
    </w:rPr>
  </w:style>
  <w:style w:type="paragraph" w:styleId="a9">
    <w:name w:val="Balloon Text"/>
    <w:basedOn w:val="a"/>
    <w:link w:val="Char3"/>
    <w:uiPriority w:val="99"/>
    <w:semiHidden/>
    <w:unhideWhenUsed/>
    <w:rsid w:val="0063628B"/>
    <w:rPr>
      <w:sz w:val="18"/>
      <w:szCs w:val="18"/>
    </w:rPr>
  </w:style>
  <w:style w:type="character" w:customStyle="1" w:styleId="Char3">
    <w:name w:val="批注框文本 Char"/>
    <w:basedOn w:val="a0"/>
    <w:link w:val="a9"/>
    <w:uiPriority w:val="99"/>
    <w:semiHidden/>
    <w:rsid w:val="0063628B"/>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8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38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E3885"/>
    <w:rPr>
      <w:sz w:val="18"/>
      <w:szCs w:val="18"/>
    </w:rPr>
  </w:style>
  <w:style w:type="paragraph" w:styleId="Footer">
    <w:name w:val="footer"/>
    <w:basedOn w:val="Normal"/>
    <w:link w:val="FooterChar"/>
    <w:uiPriority w:val="99"/>
    <w:semiHidden/>
    <w:unhideWhenUsed/>
    <w:rsid w:val="00BE388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E3885"/>
    <w:rPr>
      <w:sz w:val="18"/>
      <w:szCs w:val="18"/>
    </w:rPr>
  </w:style>
  <w:style w:type="character" w:customStyle="1" w:styleId="apple-converted-space">
    <w:name w:val="apple-converted-space"/>
    <w:basedOn w:val="DefaultParagraphFont"/>
    <w:rsid w:val="00BE3885"/>
  </w:style>
  <w:style w:type="paragraph" w:styleId="NormalWeb">
    <w:name w:val="Normal (Web)"/>
    <w:basedOn w:val="Normal"/>
    <w:uiPriority w:val="99"/>
    <w:semiHidden/>
    <w:unhideWhenUsed/>
    <w:rsid w:val="00BE3885"/>
    <w:pPr>
      <w:widowControl/>
      <w:spacing w:before="100" w:beforeAutospacing="1" w:after="100" w:afterAutospacing="1"/>
      <w:jc w:val="left"/>
    </w:pPr>
    <w:rPr>
      <w:rFonts w:ascii="宋体" w:eastAsia="宋体" w:hAnsi="宋体" w:cs="宋体"/>
      <w:kern w:val="0"/>
      <w:sz w:val="24"/>
      <w:szCs w:val="24"/>
    </w:rPr>
  </w:style>
  <w:style w:type="paragraph" w:customStyle="1" w:styleId="bulleted">
    <w:name w:val="bulleted"/>
    <w:basedOn w:val="Normal"/>
    <w:rsid w:val="00BE3885"/>
    <w:pPr>
      <w:widowControl/>
      <w:spacing w:before="100" w:beforeAutospacing="1" w:after="100" w:afterAutospacing="1"/>
      <w:jc w:val="left"/>
    </w:pPr>
    <w:rPr>
      <w:rFonts w:ascii="宋体" w:eastAsia="宋体" w:hAnsi="宋体" w:cs="宋体"/>
      <w:kern w:val="0"/>
      <w:sz w:val="24"/>
      <w:szCs w:val="24"/>
    </w:rPr>
  </w:style>
  <w:style w:type="character" w:styleId="CommentReference">
    <w:name w:val="annotation reference"/>
    <w:basedOn w:val="DefaultParagraphFont"/>
    <w:uiPriority w:val="99"/>
    <w:semiHidden/>
    <w:unhideWhenUsed/>
    <w:rsid w:val="0063628B"/>
    <w:rPr>
      <w:sz w:val="21"/>
      <w:szCs w:val="21"/>
    </w:rPr>
  </w:style>
  <w:style w:type="paragraph" w:styleId="CommentText">
    <w:name w:val="annotation text"/>
    <w:basedOn w:val="Normal"/>
    <w:link w:val="CommentTextChar"/>
    <w:uiPriority w:val="99"/>
    <w:semiHidden/>
    <w:unhideWhenUsed/>
    <w:rsid w:val="0063628B"/>
    <w:pPr>
      <w:jc w:val="left"/>
    </w:pPr>
  </w:style>
  <w:style w:type="character" w:customStyle="1" w:styleId="CommentTextChar">
    <w:name w:val="Comment Text Char"/>
    <w:basedOn w:val="DefaultParagraphFont"/>
    <w:link w:val="CommentText"/>
    <w:uiPriority w:val="99"/>
    <w:semiHidden/>
    <w:rsid w:val="0063628B"/>
  </w:style>
  <w:style w:type="paragraph" w:styleId="CommentSubject">
    <w:name w:val="annotation subject"/>
    <w:basedOn w:val="CommentText"/>
    <w:next w:val="CommentText"/>
    <w:link w:val="CommentSubjectChar"/>
    <w:uiPriority w:val="99"/>
    <w:semiHidden/>
    <w:unhideWhenUsed/>
    <w:rsid w:val="0063628B"/>
    <w:rPr>
      <w:b/>
      <w:bCs/>
    </w:rPr>
  </w:style>
  <w:style w:type="character" w:customStyle="1" w:styleId="CommentSubjectChar">
    <w:name w:val="Comment Subject Char"/>
    <w:basedOn w:val="CommentTextChar"/>
    <w:link w:val="CommentSubject"/>
    <w:uiPriority w:val="99"/>
    <w:semiHidden/>
    <w:rsid w:val="0063628B"/>
    <w:rPr>
      <w:b/>
      <w:bCs/>
    </w:rPr>
  </w:style>
  <w:style w:type="paragraph" w:styleId="BalloonText">
    <w:name w:val="Balloon Text"/>
    <w:basedOn w:val="Normal"/>
    <w:link w:val="BalloonTextChar"/>
    <w:uiPriority w:val="99"/>
    <w:semiHidden/>
    <w:unhideWhenUsed/>
    <w:rsid w:val="0063628B"/>
    <w:rPr>
      <w:sz w:val="18"/>
      <w:szCs w:val="18"/>
    </w:rPr>
  </w:style>
  <w:style w:type="character" w:customStyle="1" w:styleId="BalloonTextChar">
    <w:name w:val="Balloon Text Char"/>
    <w:basedOn w:val="DefaultParagraphFont"/>
    <w:link w:val="BalloonText"/>
    <w:uiPriority w:val="99"/>
    <w:semiHidden/>
    <w:rsid w:val="0063628B"/>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chen</cp:lastModifiedBy>
  <cp:revision>14</cp:revision>
  <dcterms:created xsi:type="dcterms:W3CDTF">2013-01-08T21:37:00Z</dcterms:created>
  <dcterms:modified xsi:type="dcterms:W3CDTF">2013-02-16T05:54:00Z</dcterms:modified>
</cp:coreProperties>
</file>