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W w:w="7860" w:type="dxa"/>
        <w:jc w:val="center"/>
        <w:tblLook w:val="04A0"/>
      </w:tblPr>
      <w:tblGrid>
        <w:gridCol w:w="7860"/>
      </w:tblGrid>
      <w:tr w:rsidR="00F7604C" w:rsidRPr="004675DD" w:rsidTr="003D3296">
        <w:trPr>
          <w:cnfStyle w:val="1000000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Zinc transporters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Metal ion SLC transporters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Zinc efflux and compartmentalization by the SLC30 family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Late Phase of HIV Life Cycle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Cell Cycle, Mitotic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Transcription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Gene Expression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HIV Life Cycle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Metabolism of non-coding RNA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SnRNP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Assembly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Translesion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synthesis by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Pol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eta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Egf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signaling pathway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Igf-1 signaling pathway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Sprouty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regulation of tyrosine kinase signals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RNA Polymerase I Chain Elongation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RNA Polymerase I Promoter Escape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RNA Polymerase I Transcription Termination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Tpo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signaling pathway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Down-stream signal transduction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RNA Polymerase I Transcription Initiation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Generic Transcription Pathway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Pdgf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signaling pathway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EGF receptor (ErbB1) signaling pathway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Processing of Capped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Intron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-Containing Pre-mRNA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Activation of the pre-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replicative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complex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NEP/NS2 Interacts with the Cellular Export Machinery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Negative Regulation of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Glucokinase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by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Glucokinase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Regulatory Protein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Nuclear import of Rev protein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Signaling by PDGF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Transport of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Ribonucleoproteins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into the Host Nucleus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Vpr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-mediated nuclear import of PICs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E2F mediated regulation of DNA replication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Export of Viral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Ribonucleoproteins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from Nucleus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Rev-mediated nuclear export of HIV-1 RNA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Mitotic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Prometaphase</w:t>
            </w:r>
            <w:proofErr w:type="spellEnd"/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Interactions of Rev with host cellular proteins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Interactions of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Vpr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with host cellular proteins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Transport of the SLBP independent Mature mRNA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DNA Damage Bypass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Formation of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Acetoacetic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Acid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Translesion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synthesis by DNA polymerases bypassing lesion on DNA template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Transport of the SLBP Dependant Mature mRNA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Formation and Maturation of mRNA Transcript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M Phase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Basal transcription factors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Transport of Mature mRNA Derived from an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Intronless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Transcript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Glucose uptake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Transport of Mature mRNAs Derived from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Intronless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Transcripts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lastRenderedPageBreak/>
              <w:t>RNA Polymerase II Transcription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D-Glutamine and D-glutamate metabolism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Synthesis of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Ketone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Bodies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Post-translational protein modification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Signaling events regulated by Ret tyrosine kinase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RNA Polymerase I Promoter Clearance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HIV-1 Transcription Initiation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HIV-1 Transcription Pre-Initiation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RNA Polymerase II HIV-1 Promoter Escape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RNA Polymerase II Promoter Escape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RNA Polymerase II Transcription Initiation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RNA Polymerase II Transcription Initiation And Promoter Clearance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RNA Polymerase II Transcription Pre-Initiation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Ketone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body metabolism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SMAC binds to IAPs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SMAC-mediated apoptotic response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SMAC-mediated dissociation of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IAP:caspase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complexes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Insulin Pathway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RNA Polymerase I Transcription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Amino sugar and nucleotide sugar metabolism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HIV Infection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Assembly of the ORC complex at the origin of replication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DNA replication initiation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De novo synthesis of IMP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Telomere C-strand synthesis initiation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Taste transduction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IL4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TGF-beta receptor signaling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Apoptotic factor-mediated response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Aspartate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,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asparagine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, glutamate, and glutamine metabolism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Inhibition of replication initiation of damaged DNA by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Rb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/E2F1</w:t>
            </w:r>
          </w:p>
        </w:tc>
      </w:tr>
      <w:tr w:rsidR="00F7604C" w:rsidRPr="004675DD" w:rsidTr="003D3296">
        <w:trPr>
          <w:cnfStyle w:val="000000100000"/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Transport of Mature mRNA derived from an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Intron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-Containing Transcript</w:t>
            </w:r>
          </w:p>
        </w:tc>
      </w:tr>
      <w:tr w:rsidR="00F7604C" w:rsidRPr="004675DD" w:rsidTr="003D3296">
        <w:trPr>
          <w:trHeight w:val="255"/>
          <w:jc w:val="center"/>
        </w:trPr>
        <w:tc>
          <w:tcPr>
            <w:cnfStyle w:val="001000000000"/>
            <w:tcW w:w="7860" w:type="dxa"/>
            <w:noWrap/>
            <w:hideMark/>
          </w:tcPr>
          <w:p w:rsidR="00F7604C" w:rsidRPr="004675DD" w:rsidRDefault="00F7604C" w:rsidP="003D3296">
            <w:pPr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Signaling events activated by </w:t>
            </w:r>
            <w:proofErr w:type="spellStart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Hepatocyte</w:t>
            </w:r>
            <w:proofErr w:type="spellEnd"/>
            <w:r w:rsidRPr="004675DD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Growth Factor Receptor (c-Met)</w:t>
            </w:r>
          </w:p>
        </w:tc>
      </w:tr>
    </w:tbl>
    <w:p w:rsidR="008F0C25" w:rsidRDefault="008F0C25"/>
    <w:sectPr w:rsidR="008F0C25" w:rsidSect="008F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604C"/>
    <w:rsid w:val="008F0C25"/>
    <w:rsid w:val="00F7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4C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F760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> 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arashh</dc:creator>
  <cp:keywords/>
  <dc:description/>
  <cp:lastModifiedBy>arashh</cp:lastModifiedBy>
  <cp:revision>1</cp:revision>
  <dcterms:created xsi:type="dcterms:W3CDTF">2012-08-03T17:48:00Z</dcterms:created>
  <dcterms:modified xsi:type="dcterms:W3CDTF">2012-08-03T17:48:00Z</dcterms:modified>
</cp:coreProperties>
</file>