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3285" w:rsidRDefault="00BF3285" w:rsidP="00BF3285">
      <w:pPr>
        <w:spacing w:after="120" w:line="360" w:lineRule="auto"/>
        <w:jc w:val="center"/>
        <w:rPr>
          <w:rFonts w:cs="Arial"/>
          <w:i/>
          <w:sz w:val="28"/>
          <w:szCs w:val="22"/>
        </w:rPr>
      </w:pPr>
      <w:r w:rsidRPr="00BF3285">
        <w:rPr>
          <w:rFonts w:cs="Arial"/>
          <w:i/>
          <w:sz w:val="28"/>
          <w:szCs w:val="22"/>
        </w:rPr>
        <w:t>Supporting Online Material for</w:t>
      </w:r>
    </w:p>
    <w:p w:rsidR="00BF3285" w:rsidRDefault="00BF3285" w:rsidP="00BF3285">
      <w:pPr>
        <w:spacing w:after="120" w:line="360" w:lineRule="auto"/>
        <w:rPr>
          <w:b/>
        </w:rPr>
      </w:pPr>
    </w:p>
    <w:p w:rsidR="00BF3285" w:rsidRDefault="00BF3285" w:rsidP="00BF3285">
      <w:pPr>
        <w:spacing w:after="120" w:line="360" w:lineRule="auto"/>
        <w:rPr>
          <w:b/>
        </w:rPr>
      </w:pPr>
      <w:r>
        <w:rPr>
          <w:b/>
        </w:rPr>
        <w:t>Transcriptome sequencing of tumor subpopulations reveals a spe</w:t>
      </w:r>
      <w:r w:rsidR="00B70879">
        <w:rPr>
          <w:b/>
        </w:rPr>
        <w:t xml:space="preserve">ctrum of therapeutic options for </w:t>
      </w:r>
      <w:r>
        <w:rPr>
          <w:b/>
        </w:rPr>
        <w:t>squamous cell lung cancer</w:t>
      </w:r>
    </w:p>
    <w:p w:rsidR="00BF3285" w:rsidRDefault="00BF3285" w:rsidP="00BF3285">
      <w:pPr>
        <w:spacing w:after="120" w:line="360" w:lineRule="auto"/>
        <w:rPr>
          <w:b/>
        </w:rPr>
      </w:pPr>
    </w:p>
    <w:p w:rsidR="00BF3285" w:rsidRPr="002D1761" w:rsidRDefault="00BF3285" w:rsidP="00BF3285">
      <w:pPr>
        <w:pStyle w:val="NoSpacing"/>
        <w:spacing w:after="120" w:line="360" w:lineRule="auto"/>
        <w:rPr>
          <w:rFonts w:ascii="Arial" w:hAnsi="Arial" w:cs="Arial"/>
        </w:rPr>
      </w:pPr>
      <w:r w:rsidRPr="002D1761">
        <w:rPr>
          <w:rFonts w:ascii="Arial" w:hAnsi="Arial" w:cs="Arial"/>
          <w:b/>
        </w:rPr>
        <w:t>Authors</w:t>
      </w:r>
      <w:r w:rsidRPr="002D1761">
        <w:rPr>
          <w:rFonts w:ascii="Arial" w:hAnsi="Arial" w:cs="Arial"/>
        </w:rPr>
        <w:t xml:space="preserve">: Christian </w:t>
      </w:r>
      <w:r>
        <w:rPr>
          <w:rFonts w:ascii="Arial" w:hAnsi="Arial" w:cs="Arial"/>
        </w:rPr>
        <w:t xml:space="preserve">L. </w:t>
      </w:r>
      <w:r w:rsidRPr="002D1761">
        <w:rPr>
          <w:rFonts w:ascii="Arial" w:hAnsi="Arial" w:cs="Arial"/>
        </w:rPr>
        <w:t>Barrett</w:t>
      </w:r>
      <w:r w:rsidRPr="002D1761">
        <w:rPr>
          <w:rFonts w:ascii="Arial" w:hAnsi="Arial" w:cs="Arial"/>
          <w:vertAlign w:val="superscript"/>
        </w:rPr>
        <w:t>1,2</w:t>
      </w:r>
      <w:r w:rsidRPr="002D1761">
        <w:rPr>
          <w:rFonts w:ascii="Arial" w:hAnsi="Arial" w:cs="Arial"/>
        </w:rPr>
        <w:t>, Richard B. Schwab</w:t>
      </w:r>
      <w:r w:rsidRPr="002D1761">
        <w:rPr>
          <w:rFonts w:ascii="Arial" w:hAnsi="Arial" w:cs="Arial"/>
          <w:vertAlign w:val="superscript"/>
        </w:rPr>
        <w:t>1</w:t>
      </w:r>
      <w:r>
        <w:rPr>
          <w:rFonts w:ascii="Arial" w:hAnsi="Arial" w:cs="Arial"/>
          <w:vertAlign w:val="superscript"/>
        </w:rPr>
        <w:t>,4</w:t>
      </w:r>
      <w:r w:rsidRPr="002D1761">
        <w:rPr>
          <w:rFonts w:ascii="Arial" w:hAnsi="Arial" w:cs="Arial"/>
        </w:rPr>
        <w:t>, HyunChul Jung</w:t>
      </w:r>
      <w:r w:rsidRPr="002D1761">
        <w:rPr>
          <w:rFonts w:ascii="Arial" w:hAnsi="Arial" w:cs="Arial"/>
          <w:vertAlign w:val="superscript"/>
        </w:rPr>
        <w:t>1,3</w:t>
      </w:r>
      <w:r w:rsidRPr="002D1761">
        <w:rPr>
          <w:rFonts w:ascii="Arial" w:hAnsi="Arial" w:cs="Arial"/>
        </w:rPr>
        <w:t>, Brian Crain</w:t>
      </w:r>
      <w:r w:rsidRPr="002D1761">
        <w:rPr>
          <w:rFonts w:ascii="Arial" w:hAnsi="Arial" w:cs="Arial"/>
          <w:vertAlign w:val="superscript"/>
        </w:rPr>
        <w:t>1</w:t>
      </w:r>
      <w:r w:rsidRPr="002D1761">
        <w:rPr>
          <w:rFonts w:ascii="Arial" w:hAnsi="Arial" w:cs="Arial"/>
        </w:rPr>
        <w:t xml:space="preserve">, </w:t>
      </w:r>
      <w:r>
        <w:rPr>
          <w:rFonts w:ascii="Arial" w:hAnsi="Arial" w:cs="Arial"/>
        </w:rPr>
        <w:t>Daniel J. Goff</w:t>
      </w:r>
      <w:r>
        <w:rPr>
          <w:rFonts w:ascii="Arial" w:hAnsi="Arial" w:cs="Arial"/>
          <w:b/>
          <w:vertAlign w:val="superscript"/>
        </w:rPr>
        <w:t>7</w:t>
      </w:r>
      <w:r>
        <w:rPr>
          <w:rFonts w:ascii="Arial" w:hAnsi="Arial" w:cs="Arial"/>
        </w:rPr>
        <w:t>, Catriona H. M. Jamieson</w:t>
      </w:r>
      <w:r>
        <w:rPr>
          <w:rFonts w:ascii="Arial" w:hAnsi="Arial" w:cs="Arial"/>
          <w:b/>
          <w:vertAlign w:val="superscript"/>
        </w:rPr>
        <w:t>7</w:t>
      </w:r>
      <w:r>
        <w:rPr>
          <w:rFonts w:ascii="Arial" w:hAnsi="Arial" w:cs="Arial"/>
        </w:rPr>
        <w:t>, Patricia A. Thistlethwaite</w:t>
      </w:r>
      <w:r w:rsidRPr="00C17319">
        <w:rPr>
          <w:rFonts w:ascii="Arial" w:hAnsi="Arial" w:cs="Arial"/>
          <w:vertAlign w:val="superscript"/>
        </w:rPr>
        <w:t>5</w:t>
      </w:r>
      <w:r>
        <w:rPr>
          <w:rFonts w:ascii="Arial" w:hAnsi="Arial" w:cs="Arial"/>
        </w:rPr>
        <w:t xml:space="preserve">, </w:t>
      </w:r>
      <w:r w:rsidRPr="002D1761">
        <w:rPr>
          <w:rFonts w:ascii="Arial" w:hAnsi="Arial" w:cs="Arial"/>
        </w:rPr>
        <w:t>Olivier Harismendy</w:t>
      </w:r>
      <w:r w:rsidRPr="002D1761">
        <w:rPr>
          <w:rFonts w:ascii="Arial" w:hAnsi="Arial" w:cs="Arial"/>
          <w:vertAlign w:val="superscript"/>
        </w:rPr>
        <w:t>1,2,4</w:t>
      </w:r>
      <w:r>
        <w:rPr>
          <w:rFonts w:ascii="Arial" w:hAnsi="Arial" w:cs="Arial"/>
          <w:vertAlign w:val="superscript"/>
        </w:rPr>
        <w:t>,</w:t>
      </w:r>
      <w:r w:rsidRPr="002D1761">
        <w:rPr>
          <w:rFonts w:ascii="Arial" w:hAnsi="Arial" w:cs="Arial"/>
        </w:rPr>
        <w:t xml:space="preserve">, </w:t>
      </w:r>
      <w:r>
        <w:rPr>
          <w:rFonts w:ascii="Arial" w:hAnsi="Arial" w:cs="Arial"/>
        </w:rPr>
        <w:t xml:space="preserve">Dennis A. </w:t>
      </w:r>
      <w:r w:rsidRPr="00413359">
        <w:rPr>
          <w:rFonts w:ascii="Arial" w:hAnsi="Arial" w:cs="Arial"/>
        </w:rPr>
        <w:t>Carson</w:t>
      </w:r>
      <w:r>
        <w:rPr>
          <w:rFonts w:ascii="Arial" w:hAnsi="Arial" w:cs="Arial"/>
          <w:b/>
          <w:vertAlign w:val="superscript"/>
        </w:rPr>
        <w:t>8</w:t>
      </w:r>
      <w:r>
        <w:rPr>
          <w:rFonts w:ascii="Arial" w:hAnsi="Arial" w:cs="Arial"/>
        </w:rPr>
        <w:t>, K</w:t>
      </w:r>
      <w:r w:rsidRPr="002D1761">
        <w:rPr>
          <w:rFonts w:ascii="Arial" w:hAnsi="Arial" w:cs="Arial"/>
        </w:rPr>
        <w:t>elly A. Frazer</w:t>
      </w:r>
      <w:r w:rsidRPr="002D1761">
        <w:rPr>
          <w:rFonts w:ascii="Arial" w:hAnsi="Arial" w:cs="Arial"/>
          <w:vertAlign w:val="superscript"/>
        </w:rPr>
        <w:t>1,2,4,</w:t>
      </w:r>
      <w:r>
        <w:rPr>
          <w:rFonts w:ascii="Arial" w:hAnsi="Arial" w:cs="Arial"/>
          <w:vertAlign w:val="superscript"/>
        </w:rPr>
        <w:t>6</w:t>
      </w:r>
      <w:r w:rsidRPr="002D1761">
        <w:rPr>
          <w:rFonts w:ascii="Arial" w:hAnsi="Arial" w:cs="Arial"/>
          <w:vertAlign w:val="superscript"/>
        </w:rPr>
        <w:t>†</w:t>
      </w:r>
      <w:r w:rsidRPr="002D1761">
        <w:rPr>
          <w:rFonts w:ascii="Arial" w:hAnsi="Arial" w:cs="Arial"/>
        </w:rPr>
        <w:t>.</w:t>
      </w:r>
    </w:p>
    <w:p w:rsidR="00BF3285" w:rsidRPr="002D1761" w:rsidRDefault="00BF3285" w:rsidP="00BF3285">
      <w:pPr>
        <w:pStyle w:val="NoSpacing"/>
        <w:spacing w:after="120" w:line="360" w:lineRule="auto"/>
        <w:rPr>
          <w:rFonts w:ascii="Arial" w:hAnsi="Arial" w:cs="Arial"/>
        </w:rPr>
      </w:pPr>
    </w:p>
    <w:p w:rsidR="00BF3285" w:rsidRPr="00F31391" w:rsidRDefault="00BF3285" w:rsidP="00BF3285">
      <w:pPr>
        <w:pStyle w:val="NoSpacing"/>
        <w:spacing w:after="120" w:line="360" w:lineRule="auto"/>
        <w:rPr>
          <w:rFonts w:ascii="Arial" w:hAnsi="Arial" w:cs="Arial"/>
        </w:rPr>
      </w:pPr>
      <w:r w:rsidRPr="002D1761">
        <w:rPr>
          <w:rFonts w:ascii="Arial" w:hAnsi="Arial" w:cs="Arial"/>
        </w:rPr>
        <w:t>1. Moores UCSD Cancer Center, 2. Department of Pediatrics and Rady</w:t>
      </w:r>
      <w:r>
        <w:rPr>
          <w:rFonts w:ascii="Arial" w:hAnsi="Arial" w:cs="Arial"/>
        </w:rPr>
        <w:t xml:space="preserve"> Children's Hospital and</w:t>
      </w:r>
      <w:r w:rsidRPr="002D1761">
        <w:rPr>
          <w:rFonts w:ascii="Arial" w:hAnsi="Arial" w:cs="Arial"/>
        </w:rPr>
        <w:t xml:space="preserve"> 3. Bioinformatics and Systems Biology graduate program and 4. Clinical and Translational Research Institute and </w:t>
      </w:r>
      <w:r>
        <w:rPr>
          <w:rFonts w:ascii="Arial" w:hAnsi="Arial" w:cs="Arial"/>
        </w:rPr>
        <w:t>5. Division of Cardiothoracic Surgery and 6</w:t>
      </w:r>
      <w:r w:rsidRPr="002D1761">
        <w:rPr>
          <w:rFonts w:ascii="Arial" w:hAnsi="Arial" w:cs="Arial"/>
        </w:rPr>
        <w:t>. Institute for Genomic Medicine,</w:t>
      </w:r>
      <w:r>
        <w:rPr>
          <w:rFonts w:ascii="Arial" w:hAnsi="Arial" w:cs="Arial"/>
        </w:rPr>
        <w:t xml:space="preserve"> </w:t>
      </w:r>
      <w:r w:rsidRPr="002D1761">
        <w:rPr>
          <w:rFonts w:ascii="Arial" w:hAnsi="Arial" w:cs="Arial"/>
        </w:rPr>
        <w:t>University of California San Diego, 9500 Gilman Drive, La Jolla CA 92093</w:t>
      </w:r>
      <w:r>
        <w:rPr>
          <w:rFonts w:ascii="Arial" w:hAnsi="Arial" w:cs="Arial"/>
        </w:rPr>
        <w:t>, 7. Department of Medicine, Stem Cell and Moores Cancer Center, University of California San Diego, 3855 Health Sciences Drive, La Jolla, 92098 CA USA, 8. Sanford Consortium for Regenerative Medicine, 2880 Torrey Pines Road, La Jolla, CA 92093</w:t>
      </w:r>
    </w:p>
    <w:p w:rsidR="00BF3285" w:rsidRPr="006E5F34" w:rsidRDefault="00BF3285" w:rsidP="00BF3285">
      <w:pPr>
        <w:pStyle w:val="NoSpacing"/>
        <w:spacing w:after="120" w:line="360" w:lineRule="auto"/>
        <w:rPr>
          <w:rFonts w:ascii="Arial" w:hAnsi="Arial" w:cs="Arial"/>
        </w:rPr>
      </w:pPr>
      <w:r w:rsidRPr="006E5F34">
        <w:rPr>
          <w:rFonts w:ascii="Arial" w:hAnsi="Arial" w:cs="Arial"/>
          <w:vertAlign w:val="superscript"/>
        </w:rPr>
        <w:t xml:space="preserve">†: </w:t>
      </w:r>
      <w:r w:rsidRPr="006E5F34">
        <w:rPr>
          <w:rFonts w:ascii="Arial" w:hAnsi="Arial" w:cs="Arial"/>
        </w:rPr>
        <w:t xml:space="preserve">Corresponding Author: </w:t>
      </w:r>
      <w:hyperlink r:id="rId6" w:history="1">
        <w:r w:rsidRPr="006E5F34">
          <w:rPr>
            <w:rStyle w:val="Hyperlink"/>
            <w:rFonts w:ascii="Arial" w:hAnsi="Arial" w:cs="Arial"/>
          </w:rPr>
          <w:t>kafrazer@ucsd.edu</w:t>
        </w:r>
      </w:hyperlink>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70879">
      <w:pPr>
        <w:spacing w:after="120" w:line="360" w:lineRule="auto"/>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Default="00BF3285" w:rsidP="00BF3285">
      <w:pPr>
        <w:spacing w:after="120" w:line="360" w:lineRule="auto"/>
        <w:jc w:val="center"/>
        <w:rPr>
          <w:rFonts w:cs="Arial"/>
          <w:sz w:val="28"/>
          <w:szCs w:val="22"/>
        </w:rPr>
      </w:pPr>
    </w:p>
    <w:p w:rsidR="00BF3285" w:rsidRPr="00BF3285" w:rsidRDefault="00BF3285" w:rsidP="00BF3285">
      <w:pPr>
        <w:spacing w:after="120" w:line="360" w:lineRule="auto"/>
        <w:jc w:val="center"/>
        <w:rPr>
          <w:rFonts w:cs="Arial"/>
          <w:sz w:val="28"/>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0D0487" w:rsidRDefault="000D0487" w:rsidP="000D0487">
      <w:pPr>
        <w:spacing w:after="120" w:line="360" w:lineRule="auto"/>
        <w:rPr>
          <w:rFonts w:cs="Arial"/>
          <w:b/>
          <w:szCs w:val="22"/>
        </w:rPr>
      </w:pPr>
      <w:r>
        <w:rPr>
          <w:rFonts w:cs="Arial"/>
          <w:b/>
          <w:szCs w:val="22"/>
        </w:rPr>
        <w:t>SUPPLEMENTAL RESULTS</w:t>
      </w:r>
    </w:p>
    <w:p w:rsidR="000D0487" w:rsidRPr="00906156" w:rsidRDefault="000D0487" w:rsidP="000D0487">
      <w:pPr>
        <w:autoSpaceDE w:val="0"/>
        <w:autoSpaceDN w:val="0"/>
        <w:adjustRightInd w:val="0"/>
        <w:spacing w:after="120" w:line="480" w:lineRule="auto"/>
        <w:rPr>
          <w:rFonts w:cs="Times New Roman"/>
          <w:b/>
        </w:rPr>
      </w:pPr>
      <w:r w:rsidRPr="00906156">
        <w:rPr>
          <w:rFonts w:cs="Times New Roman"/>
          <w:b/>
        </w:rPr>
        <w:t xml:space="preserve">The mutational landscape of </w:t>
      </w:r>
      <w:r w:rsidRPr="00906156">
        <w:rPr>
          <w:rFonts w:eastAsia="MS Gothic" w:cs="Arial"/>
          <w:b/>
          <w:color w:val="000000"/>
          <w:szCs w:val="22"/>
        </w:rPr>
        <w:t>squamous cell lung tumor</w:t>
      </w:r>
      <w:r w:rsidRPr="00906156">
        <w:rPr>
          <w:rFonts w:cs="Times New Roman"/>
          <w:b/>
        </w:rPr>
        <w:t xml:space="preserve"> subpopulations.</w:t>
      </w:r>
    </w:p>
    <w:p w:rsidR="000D0487" w:rsidRDefault="000D0487" w:rsidP="000D0487">
      <w:pPr>
        <w:autoSpaceDE w:val="0"/>
        <w:autoSpaceDN w:val="0"/>
        <w:adjustRightInd w:val="0"/>
        <w:spacing w:after="120" w:line="480" w:lineRule="auto"/>
        <w:rPr>
          <w:rFonts w:cs="Times New Roman"/>
        </w:rPr>
      </w:pPr>
      <w:r>
        <w:rPr>
          <w:rFonts w:cs="Times New Roman"/>
        </w:rPr>
        <w:t>We performed Copy Number Alteration (CNA) analysis by microarray of germline, CD133+, and CD133- DNA and found that approximately half of the entire genome in both cancer cell subpopulations was involved in large CNAs (</w:t>
      </w:r>
      <w:r w:rsidR="00A97092" w:rsidRPr="00A97092">
        <w:rPr>
          <w:rFonts w:cs="Times New Roman"/>
        </w:rPr>
        <w:t xml:space="preserve">Figure </w:t>
      </w:r>
      <w:r w:rsidR="00B538AA">
        <w:rPr>
          <w:rFonts w:cs="Times New Roman"/>
        </w:rPr>
        <w:t>S</w:t>
      </w:r>
      <w:r w:rsidR="00A97092" w:rsidRPr="00A97092">
        <w:rPr>
          <w:rFonts w:cs="Times New Roman"/>
        </w:rPr>
        <w:t>4</w:t>
      </w:r>
      <w:r w:rsidR="00B538AA">
        <w:rPr>
          <w:rFonts w:cs="Times New Roman"/>
        </w:rPr>
        <w:t xml:space="preserve"> in File S1</w:t>
      </w:r>
      <w:r w:rsidRPr="0024100C">
        <w:rPr>
          <w:rFonts w:cs="Times New Roman"/>
        </w:rPr>
        <w:t>).</w:t>
      </w:r>
      <w:r>
        <w:rPr>
          <w:rFonts w:cs="Times New Roman"/>
        </w:rPr>
        <w:t xml:space="preserve"> Overlap analysis revealed the potential existence of CNAs specific to each subpopulation, but upon manual inspection of all CNAs and taking into account the accuracy of microarrays </w:t>
      </w:r>
      <w:r w:rsidR="005348D6">
        <w:rPr>
          <w:rFonts w:cs="Times New Roman"/>
        </w:rPr>
        <w:fldChar w:fldCharType="begin"/>
      </w:r>
      <w:r>
        <w:rPr>
          <w:rFonts w:cs="Times New Roman"/>
        </w:rPr>
        <w:instrText>ADDIN CSL_CITATION {"mendeley": {"previouslyFormattedCitation": "(1)"}, "citationItems": [{"uris": ["http://www.mendeley.com/documents/?uuid=36526cd8-b9f0-4dce-a840-0c672b93dd16"], "id": "ITEM-1", "itemData": {"publisher": "Nature Publishing Group, a division of Macmillan Publishers Limited. All Rights Reserved.", "DOI": "10.1038/nbt.1852", "type": "article-journal", "shortTitle": "Nat Biotech", "author": [{"given": "Dalila", "dropping-particle": "", "suffix": "", "family": "Pinto", "parse-names": false, "non-dropping-particle": ""}, {"given": "Katayoon", "dropping-particle": "", "suffix": "", "family": "Darvishi", "parse-names": false, "non-dropping-particle": ""}, {"given": "Xinghua", "dropping-particle": "", "suffix": "", "family": "Shi", "parse-names": false, "non-dropping-particle": ""}, {"given": "Diana", "dropping-particle": "", "suffix": "", "family": "Rajan", "parse-names": false, "non-dropping-particle": ""}, {"given": "Diane", "dropping-particle": "", "suffix": "", "family": "Rigler", "parse-names": false, "non-dropping-particle": ""}, {"given": "Tom", "dropping-particle": "", "suffix": "", "family": "Fitzgerald", "parse-names": false, "non-dropping-particle": ""}, {"given": "Anath C", "dropping-particle": "", "suffix": "", "family": "Lionel", "parse-names": false, "non-dropping-particle": ""}, {"given": "Bhooma", "dropping-particle": "", "suffix": "", "family": "Thiruvahindrapuram", "parse-names": false, "non-dropping-particle": ""}, {"given": "Jeffrey R", "dropping-particle": "", "suffix": "", "family": "Macdonald", "parse-names": false, "non-dropping-particle": ""}, {"given": "Ryan", "dropping-particle": "", "suffix": "", "family": "Mills", "parse-names": false, "non-dropping-particle": ""}, {"given": "Aparna", "dropping-particle": "", "suffix": "", "family": "Prasad", "parse-names": false, "non-dropping-particle": ""}, {"given": "Kristin", "dropping-particle": "", "suffix": "", "family": "Noonan", "parse-names": false, "non-dropping-particle": ""}, {"given": "Susan", "dropping-particle": "", "suffix": "", "family": "Gribble", "parse-names": false, "non-dropping-particle": ""}, {"given": "Elena", "dropping-particle": "", "suffix": "", "family": "Prigmore", "parse-names": false, "non-dropping-particle": ""}, {"given": "Patricia K", "dropping-particle": "", "suffix": "", "family": "Donahoe", "parse-names": false, "non-dropping-particle": ""}, {"given": "Richard S", "dropping-particle": "", "suffix": "", "family": "Smith", "parse-names": false, "non-dropping-particle": ""}, {"given": "Ji Hyeon", "dropping-particle": "", "suffix": "", "family": "Park", "parse-names": false, "non-dropping-particle": ""}, {"given": "Matthew E", "dropping-particle": "", "suffix": "", "family": "Hurles", "parse-names": false, "non-dropping-particle": ""}, {"given": "Nigel P", "dropping-particle": "", "suffix": "", "family": "Carter", "parse-names": false, "non-dropping-particle": ""}, {"given": "Charles", "dropping-particle": "", "suffix": "", "family": "Lee", "parse-names": false, "non-dropping-particle": ""}, {"given": "Stephen W", "dropping-particle": "", "suffix": "", "family": "Scherer", "parse-names": false, "non-dropping-particle": ""}, {"given": "Lars", "dropping-particle": "", "suffix": "", "family": "Feuk", "parse-names": false, "non-dropping-particle": ""}], "issued": {"date-parts": [["2011", "6"]]}, "abstract": "We have systematically compared copy number variant (CNV) detection on eleven microarrays to evaluate data quality and CNV calling, reproducibility, concordance across array platforms and laboratory sites, breakpoint accuracy and analysis tool variability. Different analytic tools applied to the same raw data typically yield CNV calls with &lt;50% concordance. Moreover, reproducibility in replicate experiments is &lt;70% for most platforms. Nevertheless, these findings should not preclude detection of large CNVs for clinical diagnostic purposes because large CNVs with poor reproducibility are found primarily in complex genomic regions and would typically be removed by standard clinical data curation. The striking differences between CNV calls from different platforms and analytic tools highlight the importance of careful assessment of experimental design in discovery and association studies and of strict data curation and filtering in diagnostics. The CNV resource presented here allows independent data evaluation and provides a means to benchmark new algorithms.", "title": "Comprehensive assessment of array-based platforms and calling algorithms for detection of copy number variants", "page": "512-20", "volume": "29", "container-title": "Nat Biotechnol", "issue": "6", "id": "ITEM-1"}}], "properties": {"noteIndex": 0}, "schema": "https://github.com/citation-style-language/schema/raw/master/csl-citation.json"}</w:instrText>
      </w:r>
      <w:r w:rsidR="005348D6">
        <w:rPr>
          <w:rFonts w:cs="Times New Roman"/>
        </w:rPr>
        <w:fldChar w:fldCharType="separate"/>
      </w:r>
      <w:r w:rsidRPr="000D0487">
        <w:rPr>
          <w:rFonts w:cs="Times New Roman"/>
          <w:noProof/>
        </w:rPr>
        <w:t>(1)</w:t>
      </w:r>
      <w:r w:rsidR="005348D6">
        <w:rPr>
          <w:rFonts w:cs="Times New Roman"/>
        </w:rPr>
        <w:fldChar w:fldCharType="end"/>
      </w:r>
      <w:r>
        <w:rPr>
          <w:rFonts w:cs="Times New Roman"/>
        </w:rPr>
        <w:t xml:space="preserve">, we could not confidently identify differences. </w:t>
      </w:r>
      <w:r w:rsidRPr="00931B19">
        <w:rPr>
          <w:rFonts w:cs="Times New Roman"/>
        </w:rPr>
        <w:t>Th</w:t>
      </w:r>
      <w:r>
        <w:rPr>
          <w:rFonts w:cs="Times New Roman"/>
        </w:rPr>
        <w:t>us we concluded that the</w:t>
      </w:r>
      <w:r w:rsidRPr="00931B19">
        <w:rPr>
          <w:rFonts w:cs="Times New Roman"/>
        </w:rPr>
        <w:t xml:space="preserve"> c</w:t>
      </w:r>
      <w:r>
        <w:rPr>
          <w:rFonts w:cs="Times New Roman"/>
        </w:rPr>
        <w:t xml:space="preserve">hromosomes of the CD133+ and CD133- </w:t>
      </w:r>
      <w:r w:rsidRPr="00931B19">
        <w:rPr>
          <w:rFonts w:cs="Times New Roman"/>
        </w:rPr>
        <w:t xml:space="preserve">subpopulations </w:t>
      </w:r>
      <w:r>
        <w:rPr>
          <w:rFonts w:cs="Times New Roman"/>
        </w:rPr>
        <w:t>were</w:t>
      </w:r>
      <w:r w:rsidRPr="00931B19">
        <w:rPr>
          <w:rFonts w:cs="Times New Roman"/>
        </w:rPr>
        <w:t xml:space="preserve"> highly </w:t>
      </w:r>
      <w:r>
        <w:rPr>
          <w:rFonts w:cs="Times New Roman"/>
        </w:rPr>
        <w:t xml:space="preserve">altered </w:t>
      </w:r>
      <w:r w:rsidRPr="00931B19">
        <w:rPr>
          <w:rFonts w:cs="Times New Roman"/>
        </w:rPr>
        <w:t>in a largely indistinguishable manner</w:t>
      </w:r>
      <w:r>
        <w:rPr>
          <w:rFonts w:cs="Times New Roman"/>
        </w:rPr>
        <w:t xml:space="preserve">. </w:t>
      </w:r>
    </w:p>
    <w:p w:rsidR="000D0487" w:rsidRPr="00931B19" w:rsidRDefault="000D0487" w:rsidP="000D0487">
      <w:pPr>
        <w:autoSpaceDE w:val="0"/>
        <w:autoSpaceDN w:val="0"/>
        <w:adjustRightInd w:val="0"/>
        <w:spacing w:after="120" w:line="480" w:lineRule="auto"/>
        <w:rPr>
          <w:rFonts w:cs="Times New Roman"/>
        </w:rPr>
      </w:pPr>
      <w:r>
        <w:rPr>
          <w:rFonts w:cs="Times New Roman"/>
        </w:rPr>
        <w:t>A previous study identified recurrent large-scale genomic alterations</w:t>
      </w:r>
      <w:r w:rsidDel="005266F5">
        <w:rPr>
          <w:rFonts w:cs="Times New Roman"/>
        </w:rPr>
        <w:t xml:space="preserve"> </w:t>
      </w:r>
      <w:r>
        <w:rPr>
          <w:rFonts w:cs="Times New Roman"/>
        </w:rPr>
        <w:t xml:space="preserve">on 26 autosomal chromosomal arms of </w:t>
      </w:r>
      <w:r w:rsidRPr="004E597B">
        <w:rPr>
          <w:rFonts w:cs="Times New Roman"/>
        </w:rPr>
        <w:t xml:space="preserve">371 </w:t>
      </w:r>
      <w:r>
        <w:rPr>
          <w:rFonts w:cs="Times New Roman"/>
        </w:rPr>
        <w:t xml:space="preserve">adenocarcinoma lung cancer samples </w:t>
      </w:r>
      <w:r w:rsidR="005348D6">
        <w:rPr>
          <w:rFonts w:cs="Times New Roman"/>
        </w:rPr>
        <w:fldChar w:fldCharType="begin"/>
      </w:r>
      <w:r>
        <w:rPr>
          <w:rFonts w:cs="Times New Roman"/>
        </w:rPr>
        <w:instrText>ADDIN CSL_CITATION {"mendeley": {"previouslyFormattedCitation": "(2)"}, "citationItems": [{"uris": ["http://www.mendeley.com/documents/?uuid=3bfbbbc7-6ee0-4b7c-bd9b-4198b48a134e"], "id": "ITEM-1", "itemData": {"publisher": "Nature Publishing Group", "DOI": "10.1038/nature06358", "type": "article-journal", "shortTitle": "Nature", "author": [{"given": "Barbara A", "dropping-particle": "", "suffix": "", "family": "Weir", "parse-names": false, "non-dropping-particle": ""}, {"given": "Michele S", "dropping-particle": "", "suffix": "", "family": "Woo", "parse-names": false, "non-dropping-particle": ""}, {"given": "Gad", "dropping-particle": "", "suffix": "", "family": "Getz", "parse-names": false, "non-dropping-particle": ""}, {"given": "Sven", "dropping-particle": "", "suffix": "", "family": "Perner", "parse-names": false, "non-dropping-particle": ""}, {"given": "Li", "dropping-particle": "", "suffix": "", "family": "Ding", "parse-names": false, "non-dropping-particle": ""}, {"given": "Rameen", "dropping-particle": "", "suffix": "", "family": "Beroukhim", "parse-names": false, "non-dropping-particle": ""}, {"given": "William M", "dropping-particle": "", "suffix": "", "family": "Lin", "parse-names": false, "non-dropping-particle": ""}, {"given": "Michael A", "dropping-particle": "", "suffix": "", "family": "Province", "parse-names": false, "non-dropping-particle": ""}, {"given": "Aldi", "dropping-particle": "", "suffix": "", "family": "Kraja", "parse-names": false, "non-dropping-particle": ""}, {"given": "Laura A", "dropping-particle": "", "suffix": "", "family": "Johnson", "parse-names": false, "non-dropping-particle": ""}, {"given": "Kinjal", "dropping-particle": "", "suffix": "", "family": "Shah", "parse-names": false, "non-dropping-particle": ""}, {"given": "Mitsuo", "dropping-particle": "", "suffix": "", "family": "Sato", "parse-names": false, "non-dropping-particle": ""}, {"given": "Roman K", "dropping-particle": "", "suffix": "", "family": "Thomas", "parse-names": false, "non-dropping-particle": ""}, {"given": "Justine A", "dropping-particle": "", "suffix": "", "family": "Barletta", "parse-names": false, "non-dropping-particle": ""}, {"given": "Ingrid B", "dropping-particle": "", "suffix": "", "family": "Borecki", "parse-names": false, "non-dropping-particle": ""}, {"given": "Stephen", "dropping-particle": "", "suffix": "", "family": "Broderick", "parse-names": false, "non-dropping-particle": ""}, {"given": "Andrew C", "dropping-particle": "", "suffix": "", "family": "Chang", "parse-names": false, "non-dropping-particle": ""}, {"given": "Derek Y", "dropping-particle": "", "suffix": "", "family": "Chiang", "parse-names": false, "non-dropping-particle": ""}, {"given": "Lucian R", "dropping-particle": "", "suffix": "", "family": "Chirieac", "parse-names": false, "non-dropping-particle": ""}, {"given": "Jeonghee", "dropping-particle": "", "suffix": "", "family": "Cho", "parse-names": false, "non-dropping-particle": ""}, {"given": "Yoshitaka", "dropping-particle": "", "suffix": "", "family": "Fujii", "parse-names": false, "non-dropping-particle": ""}, {"given": "Adi F", "dropping-particle": "", "suffix": "", "family": "Gazdar", "parse-names": false, "non-dropping-particle": ""}, {"given": "Thomas", "dropping-particle": "", "suffix": "", "family": "Giordano", "parse-names": false, "non-dropping-particle": ""}, {"given": "Heidi", "dropping-particle": "", "suffix": "", "family": "Greulich", "parse-names": false, "non-dropping-particle": ""}, {"given": "Megan", "dropping-particle": "", "suffix": "", "family": "Hanna", "parse-names": false, "non-dropping-particle": ""}, {"given": "Bruce E", "dropping-particle": "", "suffix": "", "family": "Johnson", "parse-names": false, "non-dropping-particle": ""}, {"given": "Mark G", "dropping-particle": "", "suffix": "", "family": "Kris", "parse-names": false, "non-dropping-particle": ""}, {"given": "Alex", "dropping-particle": "", "suffix": "", "family": "Lash", "parse-names": false, "non-dropping-particle": ""}, {"given": "Ling", "dropping-particle": "", "suffix": "", "family": "Lin", "parse-names": false, "non-dropping-particle": ""}, {"given": "Neal", "dropping-particle": "", "suffix": "", "family": "Lindeman", "parse-names": false, "non-dropping-particle": ""}, {"given": "Elaine R", "dropping-particle": "", "suffix": "", "family": "Mardis", "parse-names": false, "non-dropping-particle": ""}, {"given": "John D", "dropping-particle": "", "suffix": "", "family": "McPherson", "parse-names": false, "non-dropping-particle": ""}, {"given": "John D", "dropping-particle": "", "suffix": "", "family": "Minna", "parse-names": false, "non-dropping-particle": ""}, {"given": "Margaret B", "dropping-particle": "", "suffix": "", "family": "Morgan", "parse-names": false, "non-dropping-particle": ""}, {"given": "Mark", "dropping-particle": "", "suffix": "", "family": "Nadel", "parse-names": false, "non-dropping-particle": ""}, {"given": "Mark B", "dropping-particle": "", "suffix": "", "family": "Orringer", "parse-names": false, "non-dropping-particle": ""}, {"given": "John R", "dropping-particle": "", "suffix": "", "family": "Osborne", "parse-names": false, "non-dropping-particle": ""}, {"given": "Brad", "dropping-particle": "", "suffix": "", "family": "Ozenberger", "parse-names": false, "non-dropping-particle": ""}, {"given": "Alex H", "dropping-particle": "", "suffix": "", "family": "Ramos", "parse-names": false, "non-dropping-particle": ""}, {"given": "James", "dropping-particle": "", "suffix": "", "family": "Robinson", "parse-names": false, "non-dropping-particle": ""}, {"given": "Jack A", "dropping-particle": "", "suffix": "", "family": "Roth", "parse-names": false, "non-dropping-particle": ""}, {"given": "Valerie", "dropping-particle": "", "suffix": "", "family": "Rusch", "parse-names": false, "non-dropping-particle": ""}, {"given": "Hidefumi", "dropping-particle": "", "suffix": "", "family": "Sasaki", "parse-names": false, "non-dropping-particle": ""}, {"given": "Frances", "dropping-particle": "", "suffix": "", "family": "Shepherd", "parse-names": false, "non-dropping-particle": ""}, {"given": "Carrie", "dropping-particle": "", "suffix": "", "family": "Sougnez", "parse-names": false, "non-dropping-particle": ""}, {"given": "Margaret R", "dropping-particle": "", "suffix": "", "family": "Spitz", "parse-names": false, "non-dropping-particle": ""}, {"given": "Ming-Sound", "dropping-particle": "", "suffix": "", "family": "Tsao", "parse-names": false, "non-dropping-particle": ""}, {"given": "David", "dropping-particle": "", "suffix": "", "family": "Twomey", "parse-names": false, "non-dropping-particle": ""}, {"given": "Roel G W", "dropping-particle": "", "suffix": "", "family": "Verhaak", "parse-names": false, "non-dropping-particle": ""}, {"given": "George M", "dropping-particle": "", "suffix": "", "family": "Weinstock", "parse-names": false, "non-dropping-particle": ""}, {"given": "David A", "dropping-particle": "", "suffix": "", "family": "Wheeler", "parse-names": false, "non-dropping-particle": ""}, {"given": "Wendy", "dropping-particle": "", "suffix": "", "family": "Winckler", "parse-names": false, "non-dropping-particle": ""}, {"given": "Akihiko", "dropping-particle": "", "suffix": "", "family": "Yoshizawa", "parse-names": false, "non-dropping-particle": ""}, {"given": "Soyoung", "dropping-particle": "", "suffix": "", "family": "Yu", "parse-names": false, "non-dropping-particle": ""}, {"given": "Maureen F", "dropping-particle": "", "suffix": "", "family": "Zakowski", "parse-names": false, "non-dropping-particle": ""}, {"given": "Qunyuan", "dropping-particle": "", "suffix": "", "family": "Zhang", "parse-names": false, "non-dropping-particle": ""}, {"given": "David G", "dropping-particle": "", "suffix": "", "family": "Beer", "parse-names": false, "non-dropping-particle": ""}, {"given": "Ignacio I", "dropping-particle": "", "suffix": "", "family": "Wistuba", "parse-names": false, "non-dropping-particle": ""}, {"given": "Mark A", "dropping-particle": "", "suffix": "", "family": "Watson", "parse-names": false, "non-dropping-particle": ""}, {"given": "Levi A", "dropping-particle": "", "suffix": "", "family": "Garraway", "parse-names": false, "non-dropping-particle": ""}, {"given": "Marc", "dropping-particle": "", "suffix": "", "family": "Ladanyi", "parse-names": false, "non-dropping-particle": ""}, {"given": "William D", "dropping-particle": "", "suffix": "", "family": "Travis", "parse-names": false, "non-dropping-particle": ""}, {"given": "William", "dropping-particle": "", "suffix": "", "family": "Pao", "parse-names": false, "non-dropping-particle": ""}, {"given": "Mark A", "dropping-particle": "", "suffix": "", "family": "Rubin", "parse-names": false, "non-dropping-particle": ""}, {"given": "Stacey B", "dropping-particle": "", "suffix": "", "family": "Gabriel", "parse-names": false, "non-dropping-particle": ""}, {"given": "Richard A", "dropping-particle": "", "suffix": "", "family": "Gibbs", "parse-names": false, "non-dropping-particle": ""}, {"given": "Harold E", "dropping-particle": "", "suffix": "", "family": "Varmus", "parse-names": false, "non-dropping-particle": ""}, {"given": "Richard K", "dropping-particle": "", "suffix": "", "family": "Wilson", "parse-names": false, "non-dropping-particle": ""}, {"given": "Eric S", "dropping-particle": "", "suffix": "", "family": "Lander", "parse-names": false, "non-dropping-particle": ""}, {"given": "Matthew", "dropping-particle": "", "suffix": "", "family": "Meyerson", "parse-names": false, "non-dropping-particle": ""}], "issued": {"date-parts": [["2007", "12", "6"]]}, "abstract": "Somatic alterations in cellular DNA underlie almost all human cancers. The prospect of targeted therapies and the development of high-resolution, genome-wide approaches are now spurring systematic efforts to characterize cancer genomes. Here we report a large-scale project to characterize copy-number alterations in primary lung adenocarcinomas. By analysis of a large collection of tumours (n = 371) using dense single nucleotide polymorphism arrays, we identify a total of 57 significantly recurrent events. We find that 26 of 39 autosomal chromosome arms show consistent large-scale copy-number gain or loss, of which only a handful have been linked to a specific gene. We also identify 31 recurrent focal events, including 24 amplifications and 7 homozygous deletions. Only six of these focal events are currently associated with known mutations in lung carcinomas. The most common event, amplification of chromosome 14q13.3, is found in approximately 12% of samples. On the basis of genomic and functional analyses, we identify NKX2-1 (NK2 homeobox 1, also called TITF1), which lies in the minimal 14q13.3 amplification interval and encodes a lineage-specific transcription factor, as a novel candidate proto-oncogene involved in a significant fraction of lung adenocarcinomas. More generally, our results indicate that many of the genes that are involved in lung adenocarcinoma remain to be discovered.", "title": "Characterizing the cancer genome in lung adenocarcinoma", "page": "893-8", "volume": "450", "container-title": "Nature", "issue": "7171", "id": "ITEM-1"}}], "properties": {"noteIndex": 0}, "schema": "https://github.com/citation-style-language/schema/raw/master/csl-citation.json"}</w:instrText>
      </w:r>
      <w:r w:rsidR="005348D6">
        <w:rPr>
          <w:rFonts w:cs="Times New Roman"/>
        </w:rPr>
        <w:fldChar w:fldCharType="separate"/>
      </w:r>
      <w:r w:rsidRPr="000D0487">
        <w:rPr>
          <w:rFonts w:cs="Times New Roman"/>
          <w:noProof/>
        </w:rPr>
        <w:t>(2)</w:t>
      </w:r>
      <w:r w:rsidR="005348D6">
        <w:rPr>
          <w:rFonts w:cs="Times New Roman"/>
        </w:rPr>
        <w:fldChar w:fldCharType="end"/>
      </w:r>
      <w:r>
        <w:rPr>
          <w:rFonts w:cs="Times New Roman"/>
        </w:rPr>
        <w:t xml:space="preserve">. Many of these large-scale rearrangements are also present in the studied squamous cell lung tumor —including amplifications of 1q, 5p, 7p, 8q, and deletions of 3p, 5q, 6q, 8p, 9p, 9q, 13q, 15q, and 17p </w:t>
      </w:r>
      <w:r w:rsidRPr="0024100C">
        <w:rPr>
          <w:rFonts w:cs="Times New Roman"/>
        </w:rPr>
        <w:t>(</w:t>
      </w:r>
      <w:r w:rsidR="00DA6A53">
        <w:rPr>
          <w:rFonts w:cs="Times New Roman"/>
        </w:rPr>
        <w:t xml:space="preserve">Figure </w:t>
      </w:r>
      <w:r w:rsidR="00B538AA">
        <w:rPr>
          <w:rFonts w:cs="Times New Roman"/>
        </w:rPr>
        <w:t>S</w:t>
      </w:r>
      <w:r w:rsidR="00DA6A53">
        <w:rPr>
          <w:rFonts w:cs="Times New Roman"/>
        </w:rPr>
        <w:t>8</w:t>
      </w:r>
      <w:r w:rsidR="00B538AA">
        <w:rPr>
          <w:rFonts w:cs="Times New Roman"/>
        </w:rPr>
        <w:t xml:space="preserve"> in File S1</w:t>
      </w:r>
      <w:r>
        <w:rPr>
          <w:rFonts w:cs="Times New Roman"/>
        </w:rPr>
        <w:t xml:space="preserve">).  These results suggest that many of the large copy number alterations observed in the studied squamous cell carcinoma may be generalizable to other lung cancer histologies. To gain insight into the biological consequences of the CNAs, we examined 17 genes identified in the COSMIC database </w:t>
      </w:r>
      <w:r w:rsidR="005348D6">
        <w:rPr>
          <w:rFonts w:cs="Times New Roman"/>
        </w:rPr>
        <w:fldChar w:fldCharType="begin"/>
      </w:r>
      <w:r>
        <w:rPr>
          <w:rFonts w:cs="Times New Roman"/>
        </w:rPr>
        <w:instrText>ADDIN CSL_CITATION {"mendeley": {"previouslyFormattedCitation": "(3)"}, "citationItems": [{"uris": ["http://www.mendeley.com/documents/?uuid=452a9ce3-a853-488b-8a2c-1aba03453103"], "id": "ITEM-1", "itemData": {"publisher": "Cancer Research UK", "DOI": "10.1038/sj.bjc.6601894", "type": "article-journal", "shortTitle": "Br J Cancer", "author": [{"given": "S", "dropping-particle": "", "suffix": "", "family": "Bamford", "parse-names": false, "non-dropping-particle": ""}, {"given": "E", "dropping-particle": "", "suffix": "", "family": "Dawson", "parse-names": false, "non-dropping-particle": ""}, {"given": "S", "dropping-particle": "", "suffix": "", "family": "Forbes", "parse-names": false, "non-dropping-particle": ""}, {"given": "J", "dropping-particle": "", "suffix": "", "family": "Clements", "parse-names": false, "non-dropping-particle": ""}, {"given": "R", "dropping-particle": "", "suffix": "", "family": "Pettett", "parse-names": false, "non-dropping-particle": ""}, {"given": "A", "dropping-particle": "", "suffix": "", "family": "Dogan", "parse-names": false, "non-dropping-particle": ""}, {"given": "A", "dropping-particle": "", "suffix": "", "family": "Flanagan", "parse-names": false, "non-dropping-particle": ""}, {"given": "J", "dropping-particle": "", "suffix": "", "family": "Teague", "parse-names": false, "non-dropping-particle": ""}, {"given": "P A", "dropping-particle": "", "suffix": "", "family": "Futreal", "parse-names": false, "non-dropping-particle": ""}, {"given": "M R", "dropping-particle": "", "suffix": "", "family": "Stratton", "parse-names": false, "non-dropping-particle": ""}, {"given": "R", "dropping-particle": "", "suffix": "", "family": "Wooster", "parse-names": false, "non-dropping-particle": ""}], "issued": {"date-parts": [["2004", "7", "19"]]}, "abstract": "The discovery of mutations in cancer genes has advanced our understanding of cancer. These results are dispersed across the scientific literature and with the availability of the human genome sequence will continue to accrue. The COSMIC (Catalogue of Somatic Mutations in Cancer) database and website have been developed to store somatic mutation data in a single location and display the data and other information related to human cancer. To populate this resource, data has currently been extracted from reports in the scientific literature for somatic mutations in four genes, BRAF, HRAS, KRAS2 and NRAS. At present, the database holds information on 66 634 samples and reports a total of 10 647 mutations. Through the web pages, these data can be queried, displayed as figures or tables and exported in a number of formats. COSMIC is an ongoing project that will continue to curate somatic mutation data and release it through the website.", "title": "The COSMIC (Catalogue of Somatic Mutations in Cancer) database and website", "page": "355-8", "volume": "91", "container-title": "Br J Cancer", "issue": "2", "id": "ITEM-1"}}], "properties": {"noteIndex": 0}, "schema": "https://github.com/citation-style-language/schema/raw/master/csl-citation.json"}</w:instrText>
      </w:r>
      <w:r w:rsidR="005348D6">
        <w:rPr>
          <w:rFonts w:cs="Times New Roman"/>
        </w:rPr>
        <w:fldChar w:fldCharType="separate"/>
      </w:r>
      <w:r w:rsidRPr="000D0487">
        <w:rPr>
          <w:rFonts w:cs="Times New Roman"/>
          <w:noProof/>
        </w:rPr>
        <w:t>(3)</w:t>
      </w:r>
      <w:r w:rsidR="005348D6">
        <w:rPr>
          <w:rFonts w:cs="Times New Roman"/>
        </w:rPr>
        <w:fldChar w:fldCharType="end"/>
      </w:r>
      <w:r>
        <w:rPr>
          <w:rFonts w:cs="Times New Roman"/>
        </w:rPr>
        <w:t xml:space="preserve">  as frequently mutated in lung cancer (</w:t>
      </w:r>
      <w:r w:rsidR="00A97092" w:rsidRPr="00A97092">
        <w:rPr>
          <w:rFonts w:cs="Times New Roman"/>
        </w:rPr>
        <w:t xml:space="preserve">Table </w:t>
      </w:r>
      <w:r w:rsidR="00B538AA">
        <w:rPr>
          <w:rFonts w:cs="Times New Roman"/>
        </w:rPr>
        <w:t>S</w:t>
      </w:r>
      <w:r w:rsidR="00A97092" w:rsidRPr="00A97092">
        <w:rPr>
          <w:rFonts w:cs="Times New Roman"/>
        </w:rPr>
        <w:t>3</w:t>
      </w:r>
      <w:r w:rsidR="00B538AA">
        <w:rPr>
          <w:rFonts w:cs="Times New Roman"/>
        </w:rPr>
        <w:t xml:space="preserve"> in File S2</w:t>
      </w:r>
      <w:r>
        <w:rPr>
          <w:rFonts w:cs="Times New Roman"/>
        </w:rPr>
        <w:t>) and determined that 9 are in genomic regions</w:t>
      </w:r>
      <w:r w:rsidRPr="00C14226">
        <w:rPr>
          <w:rFonts w:cs="Times New Roman"/>
        </w:rPr>
        <w:t xml:space="preserve"> </w:t>
      </w:r>
      <w:r>
        <w:rPr>
          <w:rFonts w:cs="Times New Roman"/>
        </w:rPr>
        <w:t>deleted in the squamous cell carcinoma, 3 are in amplified intervals and 5 are in copy number neutral regions (</w:t>
      </w:r>
      <w:r w:rsidR="00DA6A53" w:rsidRPr="00B538AA">
        <w:rPr>
          <w:rFonts w:cs="Times New Roman"/>
        </w:rPr>
        <w:t xml:space="preserve">Figure </w:t>
      </w:r>
      <w:r w:rsidR="00B538AA">
        <w:rPr>
          <w:rFonts w:cs="Times New Roman"/>
        </w:rPr>
        <w:t>S</w:t>
      </w:r>
      <w:r w:rsidR="00DA6A53" w:rsidRPr="00B538AA">
        <w:rPr>
          <w:rFonts w:cs="Times New Roman"/>
        </w:rPr>
        <w:t>8</w:t>
      </w:r>
      <w:r w:rsidR="00B538AA">
        <w:rPr>
          <w:rFonts w:cs="Times New Roman"/>
        </w:rPr>
        <w:t xml:space="preserve"> in File S1</w:t>
      </w:r>
      <w:r w:rsidRPr="0024100C">
        <w:rPr>
          <w:rFonts w:cs="Times New Roman"/>
        </w:rPr>
        <w:t>).</w:t>
      </w:r>
      <w:r>
        <w:rPr>
          <w:rFonts w:cs="Times New Roman"/>
        </w:rPr>
        <w:t xml:space="preserve">  Thus the highly rearranged chromosomes observed affect the copy number status of many lung cancer genes and are consistent with the gross alterations characteristic of NSCLC</w:t>
      </w:r>
      <w:r w:rsidRPr="00CD1C5E">
        <w:rPr>
          <w:rFonts w:cs="Arial"/>
        </w:rPr>
        <w:t>.</w:t>
      </w:r>
    </w:p>
    <w:p w:rsidR="000D0487" w:rsidRPr="000D0487" w:rsidRDefault="000D0487" w:rsidP="000D0487">
      <w:pPr>
        <w:spacing w:after="120" w:line="480" w:lineRule="auto"/>
        <w:rPr>
          <w:rFonts w:cs="Arial"/>
          <w:szCs w:val="22"/>
        </w:rPr>
      </w:pPr>
      <w:r>
        <w:t>We next analyzed whole genome sequence data of the CD133+ subpopulation and matching germline DNA to identify clinically actionable mutations (</w:t>
      </w:r>
      <w:r w:rsidRPr="00C85493">
        <w:t xml:space="preserve">see </w:t>
      </w:r>
      <w:r w:rsidR="00A97092" w:rsidRPr="00A97092">
        <w:t xml:space="preserve">Table </w:t>
      </w:r>
      <w:r w:rsidR="00B538AA">
        <w:t>S</w:t>
      </w:r>
      <w:r w:rsidR="00A97092" w:rsidRPr="00A97092">
        <w:t>4</w:t>
      </w:r>
      <w:r w:rsidR="00B538AA">
        <w:t xml:space="preserve"> in File S2</w:t>
      </w:r>
      <w:r>
        <w:t xml:space="preserve">).  Interestingly, none </w:t>
      </w:r>
      <w:r>
        <w:rPr>
          <w:rFonts w:cs="Arial"/>
          <w:szCs w:val="22"/>
        </w:rPr>
        <w:t xml:space="preserve">of the 17 </w:t>
      </w:r>
      <w:r w:rsidRPr="004B2DD2">
        <w:rPr>
          <w:rFonts w:cs="Arial"/>
          <w:szCs w:val="22"/>
        </w:rPr>
        <w:t xml:space="preserve">NSCLC </w:t>
      </w:r>
      <w:r>
        <w:rPr>
          <w:rFonts w:cs="Arial"/>
          <w:szCs w:val="22"/>
        </w:rPr>
        <w:t>disease-relevant genes, including EGFR and KRAS, were identified as carrying somatic mutations</w:t>
      </w:r>
      <w:r w:rsidRPr="004B2DD2">
        <w:rPr>
          <w:rFonts w:cs="Arial"/>
          <w:szCs w:val="22"/>
        </w:rPr>
        <w:t xml:space="preserve">. </w:t>
      </w:r>
      <w:r>
        <w:t>As anticipated, these results indicate</w:t>
      </w:r>
      <w:r>
        <w:rPr>
          <w:rFonts w:cs="Arial"/>
          <w:szCs w:val="22"/>
        </w:rPr>
        <w:t xml:space="preserve"> that this squamous cell lung cancer subject would not have benefited from treatment with </w:t>
      </w:r>
      <w:r>
        <w:t xml:space="preserve">EGFR targeted inhibitors or monoclonal antibodies. To determine if anaplastic lymphoma kinase inhibition would have been a therapeutic option, we used the whole transcriptome sequencing data to look for evidence of an EML4-ALK translocation. We measured high EML4 expression but no ALK expression in both the CD133+ and CD133- subpopulations, thereby ruling out constitutive ALK activation in the studied tumor sample. Therefore DNA mutational analysis did not reveal potentially clinically actionable mutations. </w:t>
      </w:r>
    </w:p>
    <w:p w:rsidR="00B70879" w:rsidRDefault="00B538AA" w:rsidP="00BF3285">
      <w:pPr>
        <w:spacing w:after="120" w:line="360" w:lineRule="auto"/>
        <w:rPr>
          <w:rFonts w:cs="Arial"/>
          <w:b/>
          <w:szCs w:val="22"/>
        </w:rPr>
      </w:pPr>
      <w:r>
        <w:rPr>
          <w:rFonts w:cs="Arial"/>
          <w:b/>
          <w:szCs w:val="22"/>
        </w:rPr>
        <w:t>SUPPORTING</w:t>
      </w:r>
      <w:r w:rsidR="00B70879">
        <w:rPr>
          <w:rFonts w:cs="Arial"/>
          <w:b/>
          <w:szCs w:val="22"/>
        </w:rPr>
        <w:t xml:space="preserve"> METHODS</w:t>
      </w:r>
    </w:p>
    <w:p w:rsidR="00B70879" w:rsidRDefault="00B70879" w:rsidP="00B70879">
      <w:pPr>
        <w:spacing w:after="120" w:line="480" w:lineRule="auto"/>
        <w:rPr>
          <w:rFonts w:cs="Arial"/>
          <w:szCs w:val="22"/>
        </w:rPr>
      </w:pPr>
      <w:r w:rsidRPr="00E01C01">
        <w:rPr>
          <w:rFonts w:cs="Arial"/>
          <w:i/>
          <w:szCs w:val="22"/>
        </w:rPr>
        <w:t>Cell Sorting.</w:t>
      </w:r>
      <w:r w:rsidRPr="00E01C01">
        <w:rPr>
          <w:rFonts w:cs="Arial"/>
          <w:szCs w:val="22"/>
        </w:rPr>
        <w:t xml:space="preserve">  </w:t>
      </w:r>
      <w:r>
        <w:rPr>
          <w:rFonts w:cs="Arial"/>
        </w:rPr>
        <w:t>The h</w:t>
      </w:r>
      <w:r w:rsidRPr="002A4DFF">
        <w:rPr>
          <w:rFonts w:cs="Arial"/>
        </w:rPr>
        <w:t xml:space="preserve">uman </w:t>
      </w:r>
      <w:r>
        <w:rPr>
          <w:rFonts w:cs="Arial"/>
          <w:szCs w:val="22"/>
        </w:rPr>
        <w:t>squamous cell carcinoma</w:t>
      </w:r>
      <w:r>
        <w:rPr>
          <w:rFonts w:cs="Arial"/>
        </w:rPr>
        <w:t xml:space="preserve"> </w:t>
      </w:r>
      <w:r w:rsidRPr="002A4DFF">
        <w:rPr>
          <w:rFonts w:cs="Arial"/>
        </w:rPr>
        <w:t xml:space="preserve">NSCLC xenograft tumors </w:t>
      </w:r>
      <w:r>
        <w:rPr>
          <w:rFonts w:cs="Arial"/>
        </w:rPr>
        <w:t xml:space="preserve">were harvested </w:t>
      </w:r>
      <w:r w:rsidRPr="002A4DFF">
        <w:rPr>
          <w:rFonts w:cs="Arial"/>
        </w:rPr>
        <w:t xml:space="preserve">and </w:t>
      </w:r>
      <w:r>
        <w:rPr>
          <w:rFonts w:cs="Arial"/>
        </w:rPr>
        <w:t xml:space="preserve">prepared </w:t>
      </w:r>
      <w:r w:rsidRPr="002A4DFF">
        <w:rPr>
          <w:rFonts w:cs="Arial"/>
        </w:rPr>
        <w:t xml:space="preserve">for </w:t>
      </w:r>
      <w:r>
        <w:t xml:space="preserve">fluorescence-activated </w:t>
      </w:r>
      <w:r>
        <w:rPr>
          <w:rFonts w:cs="Arial"/>
        </w:rPr>
        <w:t>cell</w:t>
      </w:r>
      <w:r w:rsidRPr="00522D68">
        <w:rPr>
          <w:rFonts w:cs="Arial"/>
        </w:rPr>
        <w:t xml:space="preserve"> </w:t>
      </w:r>
      <w:r w:rsidRPr="002A4DFF">
        <w:rPr>
          <w:rFonts w:cs="Arial"/>
        </w:rPr>
        <w:t xml:space="preserve">sorting </w:t>
      </w:r>
      <w:r>
        <w:rPr>
          <w:rFonts w:cs="Arial"/>
        </w:rPr>
        <w:t xml:space="preserve">(FACS) </w:t>
      </w:r>
      <w:r w:rsidRPr="002A4DFF">
        <w:rPr>
          <w:rFonts w:cs="Arial"/>
        </w:rPr>
        <w:t xml:space="preserve">by </w:t>
      </w:r>
      <w:r>
        <w:rPr>
          <w:rFonts w:cs="Arial"/>
          <w:szCs w:val="22"/>
        </w:rPr>
        <w:t>mechanical and enzymatic</w:t>
      </w:r>
      <w:r w:rsidRPr="00E01C01">
        <w:rPr>
          <w:rFonts w:cs="Arial"/>
          <w:szCs w:val="22"/>
        </w:rPr>
        <w:t xml:space="preserve"> disaggr</w:t>
      </w:r>
      <w:r>
        <w:rPr>
          <w:rFonts w:cs="Arial"/>
          <w:szCs w:val="22"/>
        </w:rPr>
        <w:t xml:space="preserve">egated into single </w:t>
      </w:r>
      <w:r w:rsidRPr="00E01C01">
        <w:rPr>
          <w:rFonts w:cs="Arial"/>
          <w:szCs w:val="22"/>
        </w:rPr>
        <w:t>cell suspensions.  Tumors were minced with a razor blade into small fragments (1-2mm</w:t>
      </w:r>
      <w:r w:rsidRPr="00E01C01">
        <w:rPr>
          <w:rFonts w:cs="Arial"/>
          <w:szCs w:val="22"/>
          <w:vertAlign w:val="superscript"/>
        </w:rPr>
        <w:t>3</w:t>
      </w:r>
      <w:r w:rsidRPr="00E01C01">
        <w:rPr>
          <w:rFonts w:cs="Arial"/>
          <w:szCs w:val="22"/>
        </w:rPr>
        <w:t>) to facilitate disaggregation.  Minced tissue was incubated with Accumax (Innovative Cell Technologies) at 37</w:t>
      </w:r>
      <w:r w:rsidRPr="00E01C01">
        <w:rPr>
          <w:rFonts w:cs="Arial"/>
          <w:b/>
          <w:szCs w:val="22"/>
        </w:rPr>
        <w:t>°</w:t>
      </w:r>
      <w:r w:rsidRPr="00E01C01">
        <w:rPr>
          <w:rFonts w:cs="Arial"/>
          <w:szCs w:val="22"/>
        </w:rPr>
        <w:t xml:space="preserve">C in an orbital shaking water bath for 1 hour.  Suspensions were </w:t>
      </w:r>
      <w:r>
        <w:rPr>
          <w:rFonts w:cs="Arial"/>
          <w:szCs w:val="22"/>
        </w:rPr>
        <w:t xml:space="preserve">successively strained through </w:t>
      </w:r>
      <w:r w:rsidRPr="00E01C01">
        <w:rPr>
          <w:rFonts w:cs="Arial"/>
          <w:szCs w:val="22"/>
        </w:rPr>
        <w:t>100 and 40 μm cell strainers to remove debris.  All antibody stain</w:t>
      </w:r>
      <w:r>
        <w:rPr>
          <w:rFonts w:cs="Arial"/>
          <w:szCs w:val="22"/>
        </w:rPr>
        <w:t>ing steps were performed in FACS</w:t>
      </w:r>
      <w:r w:rsidRPr="00E01C01">
        <w:rPr>
          <w:rFonts w:cs="Arial"/>
          <w:szCs w:val="22"/>
        </w:rPr>
        <w:t xml:space="preserve"> Stain Buffer (BD Biosciences).  To minimize nonspecific binding of antibodies, cells were first incubated with mouse CD16/CD32 (BD Biosciences) and human FC-block (Miltenyi).   Suspensions were subsequently stained with the human epithelial marker EPCAM-APC (clone EBA-1; BD Biosciences) and CD133-PE (clone AC133; Miltenyi) to identify a human </w:t>
      </w:r>
      <w:r>
        <w:rPr>
          <w:rFonts w:cs="Arial"/>
          <w:szCs w:val="22"/>
        </w:rPr>
        <w:t>cells and obtain both CD133+ and CD133- subpopulations</w:t>
      </w:r>
      <w:r w:rsidRPr="00E01C01">
        <w:rPr>
          <w:rFonts w:cs="Arial"/>
          <w:szCs w:val="22"/>
        </w:rPr>
        <w:t>. Mouse cells were excluded by simultaneous staining with biotinylated anti-mouse CD45 (clone 30-F11; BD Biosciences) and anti-mouse H-2K</w:t>
      </w:r>
      <w:r w:rsidRPr="00E01C01">
        <w:rPr>
          <w:rFonts w:cs="Arial"/>
          <w:szCs w:val="22"/>
          <w:vertAlign w:val="superscript"/>
        </w:rPr>
        <w:t>d</w:t>
      </w:r>
      <w:r w:rsidRPr="00E01C01">
        <w:rPr>
          <w:rFonts w:cs="Arial"/>
          <w:szCs w:val="22"/>
        </w:rPr>
        <w:t xml:space="preserve"> (clone SF1-1.1; BD Biosciences) followed by streptavidin PE.Cy7 (BD Biosciences). </w:t>
      </w:r>
      <w:r>
        <w:rPr>
          <w:rFonts w:cs="Arial"/>
          <w:szCs w:val="22"/>
        </w:rPr>
        <w:t>U</w:t>
      </w:r>
      <w:r w:rsidRPr="00E01C01">
        <w:rPr>
          <w:rFonts w:cs="Arial"/>
          <w:szCs w:val="22"/>
        </w:rPr>
        <w:t>sing a BD FACSAria cell sorter (Be</w:t>
      </w:r>
      <w:r>
        <w:rPr>
          <w:rFonts w:cs="Arial"/>
          <w:szCs w:val="22"/>
        </w:rPr>
        <w:t>cton Dickinson, San Jose, CA) f</w:t>
      </w:r>
      <w:r w:rsidRPr="00E01C01">
        <w:rPr>
          <w:rFonts w:cs="Arial"/>
          <w:szCs w:val="22"/>
        </w:rPr>
        <w:t xml:space="preserve">orward and side scatter area versus height signal plots were used to eliminate cell doublets.  Dead cells were avoided by excluding propidium iodide positive cells, while contaminating mouse cells were eliminated by excluding PE-Cy7 positive cells.  </w:t>
      </w:r>
      <w:r>
        <w:rPr>
          <w:rFonts w:cs="Arial"/>
          <w:szCs w:val="22"/>
        </w:rPr>
        <w:t>A</w:t>
      </w:r>
      <w:r w:rsidRPr="006346B7">
        <w:rPr>
          <w:rFonts w:cs="Arial"/>
          <w:szCs w:val="22"/>
        </w:rPr>
        <w:t xml:space="preserve"> total of 2.18</w:t>
      </w:r>
      <w:r w:rsidRPr="006346B7">
        <w:rPr>
          <w:rFonts w:eastAsia="MS Gothic" w:cs="Arial"/>
          <w:color w:val="000000"/>
          <w:szCs w:val="22"/>
        </w:rPr>
        <w:t>×</w:t>
      </w:r>
      <w:r>
        <w:rPr>
          <w:rFonts w:eastAsia="MS Gothic" w:cs="Arial"/>
          <w:color w:val="000000"/>
          <w:szCs w:val="22"/>
        </w:rPr>
        <w:t>10</w:t>
      </w:r>
      <w:r>
        <w:rPr>
          <w:rFonts w:eastAsia="MS Gothic" w:cs="Arial"/>
          <w:color w:val="000000"/>
          <w:szCs w:val="22"/>
          <w:vertAlign w:val="superscript"/>
        </w:rPr>
        <w:t>6</w:t>
      </w:r>
      <w:r>
        <w:rPr>
          <w:rFonts w:eastAsia="MS Gothic" w:cs="Arial"/>
          <w:color w:val="000000"/>
          <w:szCs w:val="22"/>
        </w:rPr>
        <w:t xml:space="preserve"> and </w:t>
      </w:r>
      <w:r>
        <w:rPr>
          <w:rFonts w:cs="Arial"/>
          <w:szCs w:val="22"/>
        </w:rPr>
        <w:t>9.19</w:t>
      </w:r>
      <w:r w:rsidRPr="006346B7">
        <w:rPr>
          <w:rFonts w:eastAsia="MS Gothic" w:cs="Arial"/>
          <w:color w:val="000000"/>
          <w:szCs w:val="22"/>
        </w:rPr>
        <w:t>×</w:t>
      </w:r>
      <w:r>
        <w:rPr>
          <w:rFonts w:eastAsia="MS Gothic" w:cs="Arial"/>
          <w:color w:val="000000"/>
          <w:szCs w:val="22"/>
        </w:rPr>
        <w:t>10</w:t>
      </w:r>
      <w:r>
        <w:rPr>
          <w:rFonts w:eastAsia="MS Gothic" w:cs="Arial"/>
          <w:color w:val="000000"/>
          <w:szCs w:val="22"/>
          <w:vertAlign w:val="superscript"/>
        </w:rPr>
        <w:t>4</w:t>
      </w:r>
      <w:r>
        <w:rPr>
          <w:rFonts w:eastAsia="MS Gothic" w:cs="Arial"/>
          <w:color w:val="000000"/>
          <w:szCs w:val="22"/>
        </w:rPr>
        <w:t xml:space="preserve"> live human cells were collected corresponding respectively to the CD133-/EpCAM+ </w:t>
      </w:r>
      <w:r w:rsidRPr="00A73620">
        <w:rPr>
          <w:rFonts w:eastAsia="MS Gothic" w:cs="Arial"/>
          <w:color w:val="000000"/>
          <w:szCs w:val="22"/>
        </w:rPr>
        <w:t xml:space="preserve">and </w:t>
      </w:r>
      <w:r>
        <w:rPr>
          <w:rFonts w:eastAsia="MS Gothic" w:cs="Arial"/>
          <w:color w:val="000000"/>
          <w:szCs w:val="22"/>
        </w:rPr>
        <w:t xml:space="preserve">CD133+/EpCAM+ subpopulations. </w:t>
      </w:r>
      <w:r w:rsidRPr="00E01C01">
        <w:rPr>
          <w:rFonts w:cs="Arial"/>
          <w:szCs w:val="22"/>
        </w:rPr>
        <w:t>Sorting was performed directly into RLT Plus Buffer containing 2-mercaptoethanol</w:t>
      </w:r>
      <w:r>
        <w:rPr>
          <w:rFonts w:cs="Arial"/>
          <w:szCs w:val="22"/>
        </w:rPr>
        <w:t xml:space="preserve"> (Qiagen, </w:t>
      </w:r>
      <w:r w:rsidRPr="00E01C01">
        <w:rPr>
          <w:rFonts w:cs="Arial"/>
          <w:szCs w:val="22"/>
        </w:rPr>
        <w:t>Valencia, CA</w:t>
      </w:r>
      <w:r>
        <w:rPr>
          <w:rFonts w:cs="Arial"/>
          <w:szCs w:val="22"/>
        </w:rPr>
        <w:t>)</w:t>
      </w:r>
      <w:r w:rsidRPr="00E01C01">
        <w:rPr>
          <w:rFonts w:cs="Arial"/>
          <w:szCs w:val="22"/>
        </w:rPr>
        <w:t>.  Immediately following collection the volume was adjusted to 3.5 volumes of RLT to 1 volume of sorted sample.</w:t>
      </w:r>
    </w:p>
    <w:p w:rsidR="00B70879" w:rsidRPr="00F44CD3" w:rsidRDefault="00B70879" w:rsidP="00B70879">
      <w:pPr>
        <w:pStyle w:val="NoSpacing"/>
        <w:spacing w:after="120" w:line="480" w:lineRule="auto"/>
        <w:rPr>
          <w:rFonts w:ascii="Arial" w:hAnsi="Arial" w:cs="Arial"/>
        </w:rPr>
      </w:pPr>
      <w:r w:rsidRPr="00CB340F">
        <w:rPr>
          <w:rFonts w:ascii="Arial" w:hAnsi="Arial" w:cs="Arial"/>
          <w:i/>
        </w:rPr>
        <w:t>Genotyping Array Data Generation and</w:t>
      </w:r>
      <w:r w:rsidRPr="00CB340F">
        <w:rPr>
          <w:rFonts w:ascii="Arial" w:hAnsi="Arial" w:cs="Arial"/>
          <w:b/>
        </w:rPr>
        <w:t xml:space="preserve"> </w:t>
      </w:r>
      <w:r w:rsidRPr="00260AC3">
        <w:rPr>
          <w:rFonts w:ascii="Arial" w:eastAsia="TimesNewRomanPS-BoldMT" w:hAnsi="Arial" w:cs="Arial"/>
          <w:bCs/>
          <w:i/>
        </w:rPr>
        <w:t xml:space="preserve">Copy </w:t>
      </w:r>
      <w:r>
        <w:rPr>
          <w:rFonts w:ascii="Arial" w:eastAsia="TimesNewRomanPS-BoldMT" w:hAnsi="Arial" w:cs="Arial"/>
          <w:bCs/>
          <w:i/>
        </w:rPr>
        <w:t>Number Variant a</w:t>
      </w:r>
      <w:r w:rsidRPr="00AE29AB">
        <w:rPr>
          <w:rFonts w:ascii="Arial" w:eastAsia="TimesNewRomanPS-BoldMT" w:hAnsi="Arial" w:cs="Arial"/>
          <w:bCs/>
          <w:i/>
        </w:rPr>
        <w:t>nalysis.</w:t>
      </w:r>
      <w:r w:rsidRPr="00AE29AB">
        <w:rPr>
          <w:rFonts w:ascii="Arial" w:eastAsia="TimesNewRomanPS-BoldMT" w:hAnsi="Arial" w:cs="Arial"/>
          <w:bCs/>
        </w:rPr>
        <w:t xml:space="preserve"> Germline DNA and </w:t>
      </w:r>
      <w:r w:rsidRPr="00AE29AB">
        <w:rPr>
          <w:rFonts w:ascii="Arial" w:eastAsia="Times New Roman" w:hAnsi="Arial" w:cs="Arial"/>
          <w:bCs/>
          <w:kern w:val="36"/>
        </w:rPr>
        <w:t xml:space="preserve">both the </w:t>
      </w:r>
      <w:r w:rsidRPr="00AE29AB">
        <w:rPr>
          <w:rFonts w:ascii="Arial" w:eastAsia="MS Gothic" w:hAnsi="Arial" w:cs="Arial"/>
          <w:color w:val="000000"/>
        </w:rPr>
        <w:t xml:space="preserve">CD133-/EpCAM+ and CD133+/EpCAM+ </w:t>
      </w:r>
      <w:r>
        <w:rPr>
          <w:rFonts w:ascii="Arial" w:eastAsia="TimesNewRomanPS-BoldMT" w:hAnsi="Arial" w:cs="Arial"/>
          <w:bCs/>
        </w:rPr>
        <w:t>cancer cell</w:t>
      </w:r>
      <w:r w:rsidRPr="00AE29AB">
        <w:rPr>
          <w:rFonts w:ascii="Arial" w:eastAsia="TimesNewRomanPS-BoldMT" w:hAnsi="Arial" w:cs="Arial"/>
          <w:bCs/>
        </w:rPr>
        <w:t xml:space="preserve"> subpopulations</w:t>
      </w:r>
      <w:r w:rsidRPr="00AE29AB">
        <w:rPr>
          <w:rFonts w:ascii="Arial" w:eastAsia="Times New Roman" w:hAnsi="Arial" w:cs="Arial"/>
          <w:bCs/>
          <w:kern w:val="36"/>
        </w:rPr>
        <w:t xml:space="preserve"> were assayed on Illumina HumanOmni1-Quad BeadChip kits according to manufacturer’s recommendations (Illumina, San Diego, CA,</w:t>
      </w:r>
      <w:r>
        <w:rPr>
          <w:rFonts w:ascii="Arial" w:eastAsia="Times New Roman" w:hAnsi="Arial" w:cs="Arial"/>
          <w:bCs/>
          <w:kern w:val="36"/>
        </w:rPr>
        <w:t xml:space="preserve"> USA)</w:t>
      </w:r>
      <w:r w:rsidRPr="00CB340F">
        <w:rPr>
          <w:rFonts w:ascii="Arial" w:eastAsia="Times New Roman" w:hAnsi="Arial" w:cs="Arial"/>
          <w:bCs/>
          <w:kern w:val="36"/>
        </w:rPr>
        <w:t xml:space="preserve">. CNV analysis was performed with the </w:t>
      </w:r>
      <w:r w:rsidRPr="00CB340F">
        <w:rPr>
          <w:rFonts w:ascii="Arial" w:hAnsi="Arial" w:cs="Arial"/>
        </w:rPr>
        <w:t>CnvPartition algorith</w:t>
      </w:r>
      <w:r>
        <w:rPr>
          <w:rFonts w:ascii="Arial" w:hAnsi="Arial" w:cs="Arial"/>
        </w:rPr>
        <w:t>m(73),</w:t>
      </w:r>
      <w:r w:rsidRPr="00CB340F">
        <w:rPr>
          <w:rFonts w:ascii="Arial" w:hAnsi="Arial" w:cs="Arial"/>
        </w:rPr>
        <w:t xml:space="preserve"> which was run as a plug-in within the GenomeStudio browser with default settings (confidence threshold 35, minimum number of probes 3). CnvPartition algorithm models log R ratio (LRR) and B allele frequency (BAF) for each of fourteen different copy number scenarios as </w:t>
      </w:r>
      <w:r w:rsidRPr="00F44CD3">
        <w:rPr>
          <w:rFonts w:ascii="Arial" w:hAnsi="Arial" w:cs="Arial"/>
        </w:rPr>
        <w:t xml:space="preserve">simple bivariate Gaussian distributions. Specifically, the likelihood of observing a given LRR and BAF under each of the fourteen models is calculated. </w:t>
      </w:r>
    </w:p>
    <w:p w:rsidR="00B70879" w:rsidRPr="00F44CD3" w:rsidRDefault="00B70879" w:rsidP="00B70879">
      <w:pPr>
        <w:pStyle w:val="Heading1"/>
        <w:shd w:val="clear" w:color="auto" w:fill="FFFFFF"/>
        <w:spacing w:after="120" w:line="480" w:lineRule="auto"/>
        <w:rPr>
          <w:rFonts w:ascii="Arial" w:hAnsi="Arial" w:cs="Arial"/>
          <w:b w:val="0"/>
          <w:color w:val="auto"/>
          <w:sz w:val="22"/>
          <w:szCs w:val="22"/>
        </w:rPr>
      </w:pPr>
      <w:r>
        <w:rPr>
          <w:rFonts w:ascii="Arial" w:hAnsi="Arial" w:cs="Arial"/>
          <w:b w:val="0"/>
          <w:color w:val="auto"/>
          <w:sz w:val="22"/>
          <w:szCs w:val="22"/>
        </w:rPr>
        <w:t>There we</w:t>
      </w:r>
      <w:r w:rsidRPr="00F44CD3">
        <w:rPr>
          <w:rFonts w:ascii="Arial" w:hAnsi="Arial" w:cs="Arial"/>
          <w:b w:val="0"/>
          <w:color w:val="auto"/>
          <w:sz w:val="22"/>
          <w:szCs w:val="22"/>
        </w:rPr>
        <w:t xml:space="preserve">re ~500 called CNVs in both the </w:t>
      </w:r>
      <w:r>
        <w:rPr>
          <w:rFonts w:ascii="Arial" w:hAnsi="Arial" w:cs="Arial"/>
          <w:b w:val="0"/>
          <w:color w:val="auto"/>
          <w:sz w:val="22"/>
          <w:szCs w:val="22"/>
        </w:rPr>
        <w:t>CD133+ and CD133-</w:t>
      </w:r>
      <w:r w:rsidRPr="00F44CD3">
        <w:rPr>
          <w:rFonts w:ascii="Arial" w:hAnsi="Arial" w:cs="Arial"/>
          <w:b w:val="0"/>
          <w:color w:val="auto"/>
          <w:sz w:val="22"/>
          <w:szCs w:val="22"/>
        </w:rPr>
        <w:t xml:space="preserve"> </w:t>
      </w:r>
      <w:r>
        <w:rPr>
          <w:rFonts w:ascii="Arial" w:hAnsi="Arial" w:cs="Arial"/>
          <w:b w:val="0"/>
          <w:color w:val="auto"/>
          <w:sz w:val="22"/>
          <w:szCs w:val="22"/>
        </w:rPr>
        <w:t>subpopulations spanning ~1.4</w:t>
      </w:r>
      <w:r w:rsidRPr="00F44CD3">
        <w:rPr>
          <w:rFonts w:ascii="Arial" w:hAnsi="Arial" w:cs="Arial"/>
          <w:b w:val="0"/>
          <w:color w:val="auto"/>
          <w:sz w:val="22"/>
          <w:szCs w:val="22"/>
        </w:rPr>
        <w:t xml:space="preserve"> Gb of the human genome compared to ~190 called CNVs spanning 4.4 Mb in the germline sample (</w:t>
      </w:r>
      <w:r w:rsidR="00A97092" w:rsidRPr="00A97092">
        <w:rPr>
          <w:rFonts w:ascii="Arial" w:hAnsi="Arial" w:cs="Arial"/>
          <w:b w:val="0"/>
          <w:color w:val="auto"/>
          <w:sz w:val="22"/>
          <w:szCs w:val="22"/>
        </w:rPr>
        <w:t xml:space="preserve">Table </w:t>
      </w:r>
      <w:r w:rsidR="00B538AA">
        <w:rPr>
          <w:rFonts w:ascii="Arial" w:hAnsi="Arial" w:cs="Arial"/>
          <w:b w:val="0"/>
          <w:color w:val="auto"/>
          <w:sz w:val="22"/>
          <w:szCs w:val="22"/>
        </w:rPr>
        <w:t>S</w:t>
      </w:r>
      <w:r w:rsidR="00A97092" w:rsidRPr="00A97092">
        <w:rPr>
          <w:rFonts w:ascii="Arial" w:hAnsi="Arial" w:cs="Arial"/>
          <w:b w:val="0"/>
          <w:color w:val="auto"/>
          <w:sz w:val="22"/>
          <w:szCs w:val="22"/>
        </w:rPr>
        <w:t>5</w:t>
      </w:r>
      <w:r w:rsidR="00B538AA">
        <w:rPr>
          <w:rFonts w:ascii="Arial" w:hAnsi="Arial" w:cs="Arial"/>
          <w:b w:val="0"/>
          <w:color w:val="auto"/>
          <w:sz w:val="22"/>
          <w:szCs w:val="22"/>
        </w:rPr>
        <w:t xml:space="preserve"> in File S2</w:t>
      </w:r>
      <w:r w:rsidRPr="00F44CD3">
        <w:rPr>
          <w:rFonts w:ascii="Arial" w:hAnsi="Arial" w:cs="Arial"/>
          <w:b w:val="0"/>
          <w:color w:val="auto"/>
          <w:sz w:val="22"/>
          <w:szCs w:val="22"/>
        </w:rPr>
        <w:t>). We removed CNVs showing loss of heterozygosity (LOH) and merged adjacent CNVs (within 20kb) having the same copy number (ranging from 0 to 4 copies) into single CNVs; this resulted in modest changes in the number of called CNVs and total length of the human genome involved in CNVs. Approximately 95% of the CNVs (and 95% of the corresponding DNA bases) identified in CD133+ subpopulation overlap CNVs identified in the CD133- subpopulation and vice versa (</w:t>
      </w:r>
      <w:r w:rsidR="00A97092" w:rsidRPr="00A97092">
        <w:rPr>
          <w:rFonts w:ascii="Arial" w:hAnsi="Arial" w:cs="Arial"/>
          <w:b w:val="0"/>
          <w:color w:val="auto"/>
          <w:sz w:val="22"/>
          <w:szCs w:val="22"/>
        </w:rPr>
        <w:t xml:space="preserve">Table </w:t>
      </w:r>
      <w:r w:rsidR="00B538AA">
        <w:rPr>
          <w:rFonts w:ascii="Arial" w:hAnsi="Arial" w:cs="Arial"/>
          <w:b w:val="0"/>
          <w:color w:val="auto"/>
          <w:sz w:val="22"/>
          <w:szCs w:val="22"/>
        </w:rPr>
        <w:t>S</w:t>
      </w:r>
      <w:r w:rsidR="00A97092" w:rsidRPr="00A97092">
        <w:rPr>
          <w:rFonts w:ascii="Arial" w:hAnsi="Arial" w:cs="Arial"/>
          <w:b w:val="0"/>
          <w:color w:val="auto"/>
          <w:sz w:val="22"/>
          <w:szCs w:val="22"/>
        </w:rPr>
        <w:t>6</w:t>
      </w:r>
      <w:r w:rsidR="00B538AA">
        <w:rPr>
          <w:rFonts w:ascii="Arial" w:hAnsi="Arial" w:cs="Arial"/>
          <w:b w:val="0"/>
          <w:color w:val="auto"/>
          <w:sz w:val="22"/>
          <w:szCs w:val="22"/>
        </w:rPr>
        <w:t xml:space="preserve"> in File S2</w:t>
      </w:r>
      <w:r w:rsidRPr="00F44CD3">
        <w:rPr>
          <w:rFonts w:ascii="Arial" w:hAnsi="Arial" w:cs="Arial"/>
          <w:b w:val="0"/>
          <w:color w:val="auto"/>
          <w:sz w:val="22"/>
          <w:szCs w:val="22"/>
        </w:rPr>
        <w:t>). The CN</w:t>
      </w:r>
      <w:r>
        <w:rPr>
          <w:rFonts w:ascii="Arial" w:hAnsi="Arial" w:cs="Arial"/>
          <w:b w:val="0"/>
          <w:color w:val="auto"/>
          <w:sz w:val="22"/>
          <w:szCs w:val="22"/>
        </w:rPr>
        <w:t>V concordance between the CD133+ and CD133-</w:t>
      </w:r>
      <w:r w:rsidRPr="00F44CD3">
        <w:rPr>
          <w:rFonts w:ascii="Arial" w:hAnsi="Arial" w:cs="Arial"/>
          <w:b w:val="0"/>
          <w:color w:val="auto"/>
          <w:sz w:val="22"/>
          <w:szCs w:val="22"/>
        </w:rPr>
        <w:t xml:space="preserve"> samples is higher than that observed for replicate samples in published c</w:t>
      </w:r>
      <w:r w:rsidRPr="00F44CD3">
        <w:rPr>
          <w:rFonts w:ascii="Arial" w:hAnsi="Arial" w:cs="Arial"/>
          <w:b w:val="0"/>
          <w:bCs w:val="0"/>
          <w:color w:val="auto"/>
          <w:spacing w:val="-6"/>
          <w:sz w:val="22"/>
          <w:szCs w:val="22"/>
        </w:rPr>
        <w:t>omprehensive assessments of array-based platforms and calling algorithms for detection of CNV</w:t>
      </w:r>
      <w:r>
        <w:rPr>
          <w:rFonts w:ascii="Arial" w:hAnsi="Arial" w:cs="Arial"/>
          <w:b w:val="0"/>
          <w:bCs w:val="0"/>
          <w:color w:val="auto"/>
          <w:spacing w:val="-6"/>
          <w:sz w:val="22"/>
          <w:szCs w:val="22"/>
        </w:rPr>
        <w:t>s(24).</w:t>
      </w:r>
      <w:r w:rsidRPr="00F44CD3">
        <w:rPr>
          <w:rFonts w:ascii="Arial" w:hAnsi="Arial" w:cs="Arial"/>
          <w:b w:val="0"/>
          <w:bCs w:val="0"/>
          <w:color w:val="auto"/>
          <w:spacing w:val="-6"/>
          <w:sz w:val="22"/>
          <w:szCs w:val="22"/>
        </w:rPr>
        <w:t xml:space="preserve"> </w:t>
      </w:r>
      <w:r w:rsidRPr="00F44CD3">
        <w:rPr>
          <w:rFonts w:ascii="Arial" w:hAnsi="Arial" w:cs="Arial"/>
          <w:b w:val="0"/>
          <w:color w:val="auto"/>
          <w:sz w:val="22"/>
          <w:szCs w:val="22"/>
        </w:rPr>
        <w:t xml:space="preserve">The genotyping statistics from the </w:t>
      </w:r>
      <w:r w:rsidRPr="00F44CD3">
        <w:rPr>
          <w:rFonts w:ascii="Arial" w:hAnsi="Arial" w:cs="Arial"/>
          <w:b w:val="0"/>
          <w:bCs w:val="0"/>
          <w:color w:val="auto"/>
          <w:sz w:val="22"/>
          <w:szCs w:val="22"/>
        </w:rPr>
        <w:t>Illumina HumanOmni1-Quad BeadChip</w:t>
      </w:r>
      <w:r w:rsidRPr="00F44CD3">
        <w:rPr>
          <w:rFonts w:ascii="Arial" w:hAnsi="Arial" w:cs="Arial"/>
          <w:b w:val="0"/>
          <w:color w:val="auto"/>
          <w:sz w:val="22"/>
          <w:szCs w:val="22"/>
        </w:rPr>
        <w:t xml:space="preserve"> further support that the large segments of the human genome involved in CNVs are highly similar </w:t>
      </w:r>
      <w:r>
        <w:rPr>
          <w:rFonts w:ascii="Arial" w:hAnsi="Arial" w:cs="Arial"/>
          <w:b w:val="0"/>
          <w:color w:val="auto"/>
          <w:sz w:val="22"/>
          <w:szCs w:val="22"/>
        </w:rPr>
        <w:t>in the CD133+ and CD133-</w:t>
      </w:r>
      <w:r w:rsidRPr="00F44CD3">
        <w:rPr>
          <w:rFonts w:ascii="Arial" w:hAnsi="Arial" w:cs="Arial"/>
          <w:b w:val="0"/>
          <w:color w:val="auto"/>
          <w:sz w:val="22"/>
          <w:szCs w:val="22"/>
        </w:rPr>
        <w:t xml:space="preserve"> samples (</w:t>
      </w:r>
      <w:r w:rsidR="00A97092" w:rsidRPr="00BC6E1C">
        <w:rPr>
          <w:rFonts w:ascii="Arial" w:hAnsi="Arial" w:cs="Arial"/>
          <w:b w:val="0"/>
          <w:color w:val="auto"/>
          <w:sz w:val="22"/>
          <w:szCs w:val="22"/>
        </w:rPr>
        <w:t xml:space="preserve">Table </w:t>
      </w:r>
      <w:r w:rsidR="00B538AA">
        <w:rPr>
          <w:rFonts w:ascii="Arial" w:hAnsi="Arial" w:cs="Arial"/>
          <w:b w:val="0"/>
          <w:color w:val="auto"/>
          <w:sz w:val="22"/>
          <w:szCs w:val="22"/>
        </w:rPr>
        <w:t>S</w:t>
      </w:r>
      <w:r w:rsidR="00A97092" w:rsidRPr="00BC6E1C">
        <w:rPr>
          <w:rFonts w:ascii="Arial" w:hAnsi="Arial" w:cs="Arial"/>
          <w:b w:val="0"/>
          <w:color w:val="auto"/>
          <w:sz w:val="22"/>
          <w:szCs w:val="22"/>
        </w:rPr>
        <w:t>7</w:t>
      </w:r>
      <w:r w:rsidR="00B538AA">
        <w:rPr>
          <w:rFonts w:ascii="Arial" w:hAnsi="Arial" w:cs="Arial"/>
          <w:b w:val="0"/>
          <w:color w:val="auto"/>
          <w:sz w:val="22"/>
          <w:szCs w:val="22"/>
        </w:rPr>
        <w:t xml:space="preserve"> in File S2</w:t>
      </w:r>
      <w:r w:rsidRPr="00F44CD3">
        <w:rPr>
          <w:rFonts w:ascii="Arial" w:hAnsi="Arial" w:cs="Arial"/>
          <w:b w:val="0"/>
          <w:color w:val="auto"/>
          <w:sz w:val="22"/>
          <w:szCs w:val="22"/>
        </w:rPr>
        <w:t xml:space="preserve">).  </w:t>
      </w:r>
      <w:r>
        <w:rPr>
          <w:rFonts w:ascii="Arial" w:hAnsi="Arial" w:cs="Arial"/>
          <w:b w:val="0"/>
          <w:bCs w:val="0"/>
          <w:color w:val="auto"/>
          <w:spacing w:val="-6"/>
          <w:sz w:val="22"/>
          <w:szCs w:val="22"/>
        </w:rPr>
        <w:t>T</w:t>
      </w:r>
      <w:r w:rsidRPr="00F44CD3">
        <w:rPr>
          <w:rFonts w:ascii="Arial" w:hAnsi="Arial" w:cs="Arial"/>
          <w:b w:val="0"/>
          <w:bCs w:val="0"/>
          <w:color w:val="auto"/>
          <w:spacing w:val="-6"/>
          <w:sz w:val="22"/>
          <w:szCs w:val="22"/>
        </w:rPr>
        <w:t xml:space="preserve">hese data </w:t>
      </w:r>
      <w:r>
        <w:rPr>
          <w:rFonts w:ascii="Arial" w:hAnsi="Arial" w:cs="Arial"/>
          <w:b w:val="0"/>
          <w:bCs w:val="0"/>
          <w:color w:val="auto"/>
          <w:spacing w:val="-6"/>
          <w:sz w:val="22"/>
          <w:szCs w:val="22"/>
        </w:rPr>
        <w:t>indicate that the CNVs in the CD133+ and CD133-</w:t>
      </w:r>
      <w:r w:rsidRPr="00F44CD3">
        <w:rPr>
          <w:rFonts w:ascii="Arial" w:hAnsi="Arial" w:cs="Arial"/>
          <w:b w:val="0"/>
          <w:bCs w:val="0"/>
          <w:color w:val="auto"/>
          <w:spacing w:val="-6"/>
          <w:sz w:val="22"/>
          <w:szCs w:val="22"/>
        </w:rPr>
        <w:t xml:space="preserve"> subpopulations are likely to be identical.</w:t>
      </w:r>
    </w:p>
    <w:p w:rsidR="00B70879" w:rsidRPr="00CD1C5E" w:rsidRDefault="00B70879" w:rsidP="00B70879">
      <w:pPr>
        <w:pStyle w:val="NoSpacing"/>
        <w:spacing w:after="120" w:line="480" w:lineRule="auto"/>
        <w:rPr>
          <w:rFonts w:ascii="Arial" w:hAnsi="Arial" w:cs="Arial"/>
        </w:rPr>
      </w:pPr>
      <w:r w:rsidRPr="00F44CD3">
        <w:rPr>
          <w:rFonts w:ascii="Arial" w:hAnsi="Arial" w:cs="Arial"/>
        </w:rPr>
        <w:t xml:space="preserve">To identify genes of potential importance for NSCLC initiation and progression we downloaded the </w:t>
      </w:r>
      <w:r>
        <w:rPr>
          <w:rFonts w:ascii="Arial" w:hAnsi="Arial" w:cs="Arial"/>
        </w:rPr>
        <w:t>COSMIC list</w:t>
      </w:r>
      <w:r w:rsidRPr="00F44CD3">
        <w:rPr>
          <w:rFonts w:ascii="Arial" w:hAnsi="Arial" w:cs="Arial"/>
        </w:rPr>
        <w:t xml:space="preserve">, updated </w:t>
      </w:r>
      <w:r w:rsidRPr="00B67A43">
        <w:rPr>
          <w:rFonts w:ascii="Arial" w:hAnsi="Arial" w:cs="Arial"/>
        </w:rPr>
        <w:t>2010-03-30</w:t>
      </w:r>
      <w:r w:rsidRPr="00F44CD3">
        <w:rPr>
          <w:rFonts w:ascii="Arial" w:hAnsi="Arial" w:cs="Arial"/>
        </w:rPr>
        <w:t xml:space="preserve"> </w:t>
      </w:r>
      <w:r w:rsidR="005348D6">
        <w:rPr>
          <w:rFonts w:ascii="Arial" w:hAnsi="Arial" w:cs="Arial"/>
        </w:rPr>
        <w:fldChar w:fldCharType="begin"/>
      </w:r>
      <w:r w:rsidR="000D0487">
        <w:rPr>
          <w:rFonts w:ascii="Arial" w:hAnsi="Arial" w:cs="Arial"/>
        </w:rPr>
        <w:instrText>ADDIN CSL_CITATION {"mendeley": {"previouslyFormattedCitation": "(3)"}, "citationItems": [{"uris": ["http://www.mendeley.com/documents/?uuid=452a9ce3-a853-488b-8a2c-1aba03453103"], "id": "ITEM-1", "itemData": {"publisher": "Cancer Research UK", "DOI": "10.1038/sj.bjc.6601894", "type": "article-journal", "shortTitle": "Br J Cancer", "author": [{"given": "S", "dropping-particle": "", "suffix": "", "family": "Bamford", "parse-names": false, "non-dropping-particle": ""}, {"given": "E", "dropping-particle": "", "suffix": "", "family": "Dawson", "parse-names": false, "non-dropping-particle": ""}, {"given": "S", "dropping-particle": "", "suffix": "", "family": "Forbes", "parse-names": false, "non-dropping-particle": ""}, {"given": "J", "dropping-particle": "", "suffix": "", "family": "Clements", "parse-names": false, "non-dropping-particle": ""}, {"given": "R", "dropping-particle": "", "suffix": "", "family": "Pettett", "parse-names": false, "non-dropping-particle": ""}, {"given": "A", "dropping-particle": "", "suffix": "", "family": "Dogan", "parse-names": false, "non-dropping-particle": ""}, {"given": "A", "dropping-particle": "", "suffix": "", "family": "Flanagan", "parse-names": false, "non-dropping-particle": ""}, {"given": "J", "dropping-particle": "", "suffix": "", "family": "Teague", "parse-names": false, "non-dropping-particle": ""}, {"given": "P A", "dropping-particle": "", "suffix": "", "family": "Futreal", "parse-names": false, "non-dropping-particle": ""}, {"given": "M R", "dropping-particle": "", "suffix": "", "family": "Stratton", "parse-names": false, "non-dropping-particle": ""}, {"given": "R", "dropping-particle": "", "suffix": "", "family": "Wooster", "parse-names": false, "non-dropping-particle": ""}], "issued": {"date-parts": [["2004", "7", "19"]]}, "abstract": "The discovery of mutations in cancer genes has advanced our understanding of cancer. These results are dispersed across the scientific literature and with the availability of the human genome sequence will continue to accrue. The COSMIC (Catalogue of Somatic Mutations in Cancer) database and website have been developed to store somatic mutation data in a single location and display the data and other information related to human cancer. To populate this resource, data has currently been extracted from reports in the scientific literature for somatic mutations in four genes, BRAF, HRAS, KRAS2 and NRAS. At present, the database holds information on 66 634 samples and reports a total of 10 647 mutations. Through the web pages, these data can be queried, displayed as figures or tables and exported in a number of formats. COSMIC is an ongoing project that will continue to curate somatic mutation data and release it through the website.", "title": "The COSMIC (Catalogue of Somatic Mutations in Cancer) database and website", "page": "355-8", "volume": "91", "container-title": "Br J Cancer", "issue": "2", "id": "ITEM-1"}}], "properties": {"noteIndex": 0}, "schema": "https://github.com/citation-style-language/schema/raw/master/csl-citation.json"}</w:instrText>
      </w:r>
      <w:r w:rsidR="005348D6">
        <w:rPr>
          <w:rFonts w:ascii="Arial" w:hAnsi="Arial" w:cs="Arial"/>
        </w:rPr>
        <w:fldChar w:fldCharType="separate"/>
      </w:r>
      <w:r w:rsidR="000D0487" w:rsidRPr="000D0487">
        <w:rPr>
          <w:rFonts w:ascii="Arial" w:hAnsi="Arial" w:cs="Arial"/>
          <w:noProof/>
        </w:rPr>
        <w:t>(3)</w:t>
      </w:r>
      <w:r w:rsidR="005348D6">
        <w:rPr>
          <w:rFonts w:ascii="Arial" w:hAnsi="Arial" w:cs="Arial"/>
        </w:rPr>
        <w:fldChar w:fldCharType="end"/>
      </w:r>
      <w:r w:rsidRPr="00F44CD3">
        <w:rPr>
          <w:rFonts w:ascii="Arial" w:hAnsi="Arial" w:cs="Arial"/>
        </w:rPr>
        <w:t xml:space="preserve"> and created a list of 17 genes </w:t>
      </w:r>
      <w:r>
        <w:rPr>
          <w:rFonts w:ascii="Arial" w:hAnsi="Arial" w:cs="Arial"/>
        </w:rPr>
        <w:t xml:space="preserve">(with 52 associated isoforms) </w:t>
      </w:r>
      <w:r w:rsidRPr="00F44CD3">
        <w:rPr>
          <w:rFonts w:ascii="Arial" w:hAnsi="Arial" w:cs="Arial"/>
        </w:rPr>
        <w:t>marked as having mutations in NSCLC or</w:t>
      </w:r>
      <w:r>
        <w:rPr>
          <w:rFonts w:ascii="Arial" w:hAnsi="Arial" w:cs="Arial"/>
        </w:rPr>
        <w:t xml:space="preserve"> lung cancer </w:t>
      </w:r>
      <w:r w:rsidRPr="000046CB">
        <w:rPr>
          <w:rFonts w:ascii="Arial" w:hAnsi="Arial" w:cs="Arial"/>
        </w:rPr>
        <w:t>(</w:t>
      </w:r>
      <w:r w:rsidR="00A97092" w:rsidRPr="00A97092">
        <w:rPr>
          <w:rFonts w:ascii="Arial" w:hAnsi="Arial" w:cs="Arial"/>
        </w:rPr>
        <w:t xml:space="preserve">Table </w:t>
      </w:r>
      <w:r w:rsidR="00B538AA">
        <w:rPr>
          <w:rFonts w:ascii="Arial" w:hAnsi="Arial" w:cs="Arial"/>
        </w:rPr>
        <w:t>S</w:t>
      </w:r>
      <w:r w:rsidR="00A97092" w:rsidRPr="00A97092">
        <w:rPr>
          <w:rFonts w:ascii="Arial" w:hAnsi="Arial" w:cs="Arial"/>
        </w:rPr>
        <w:t>3</w:t>
      </w:r>
      <w:r w:rsidR="00B538AA">
        <w:rPr>
          <w:rFonts w:ascii="Arial" w:hAnsi="Arial" w:cs="Arial"/>
        </w:rPr>
        <w:t xml:space="preserve"> in File S2</w:t>
      </w:r>
      <w:r w:rsidRPr="000046CB">
        <w:rPr>
          <w:rFonts w:ascii="Arial" w:hAnsi="Arial" w:cs="Arial"/>
        </w:rPr>
        <w:t>)</w:t>
      </w:r>
      <w:r w:rsidRPr="00CD1C5E">
        <w:rPr>
          <w:rFonts w:ascii="Arial" w:hAnsi="Arial" w:cs="Arial"/>
        </w:rPr>
        <w:t xml:space="preserve">. </w:t>
      </w:r>
    </w:p>
    <w:p w:rsidR="00B70879" w:rsidRPr="00E01C01" w:rsidRDefault="00B70879" w:rsidP="00B70879">
      <w:pPr>
        <w:spacing w:after="120" w:line="480" w:lineRule="auto"/>
        <w:rPr>
          <w:rFonts w:cs="Arial"/>
          <w:szCs w:val="22"/>
        </w:rPr>
      </w:pPr>
      <w:r w:rsidRPr="00E01C01">
        <w:rPr>
          <w:rFonts w:cs="Arial"/>
          <w:i/>
          <w:szCs w:val="22"/>
        </w:rPr>
        <w:t>DNA sequencing.</w:t>
      </w:r>
      <w:r w:rsidRPr="00E01C01">
        <w:rPr>
          <w:rFonts w:cs="Arial"/>
          <w:szCs w:val="22"/>
        </w:rPr>
        <w:t xml:space="preserve"> </w:t>
      </w:r>
      <w:r w:rsidRPr="00260AC3">
        <w:rPr>
          <w:rFonts w:eastAsia="TimesNewRomanPS-BoldMT" w:cs="Arial"/>
          <w:bCs/>
        </w:rPr>
        <w:t xml:space="preserve">Germline </w:t>
      </w:r>
      <w:r w:rsidRPr="00CF529B">
        <w:rPr>
          <w:rFonts w:cs="Arial"/>
        </w:rPr>
        <w:t xml:space="preserve">DNA </w:t>
      </w:r>
      <w:r>
        <w:rPr>
          <w:rFonts w:cs="Arial"/>
        </w:rPr>
        <w:t xml:space="preserve">(1.0 ug) </w:t>
      </w:r>
      <w:r w:rsidRPr="00260AC3">
        <w:rPr>
          <w:rFonts w:eastAsia="TimesNewRomanPS-BoldMT" w:cs="Arial"/>
          <w:bCs/>
        </w:rPr>
        <w:t xml:space="preserve">and </w:t>
      </w:r>
      <w:r>
        <w:rPr>
          <w:rFonts w:eastAsia="Times New Roman" w:cs="Arial"/>
          <w:bCs/>
          <w:kern w:val="36"/>
        </w:rPr>
        <w:t>the</w:t>
      </w:r>
      <w:r w:rsidRPr="00260AC3">
        <w:rPr>
          <w:rFonts w:eastAsia="Times New Roman" w:cs="Arial"/>
          <w:bCs/>
          <w:kern w:val="36"/>
        </w:rPr>
        <w:t xml:space="preserve"> </w:t>
      </w:r>
      <w:r>
        <w:rPr>
          <w:rFonts w:eastAsia="MS Gothic" w:cs="Arial"/>
          <w:color w:val="000000"/>
          <w:szCs w:val="22"/>
        </w:rPr>
        <w:t>CD133+/EpCAM+ tumor subpopulation</w:t>
      </w:r>
      <w:r>
        <w:rPr>
          <w:rFonts w:eastAsia="TimesNewRomanPS-BoldMT" w:cs="Arial"/>
          <w:bCs/>
        </w:rPr>
        <w:t xml:space="preserve"> DNA </w:t>
      </w:r>
      <w:r>
        <w:rPr>
          <w:rFonts w:cs="Arial"/>
        </w:rPr>
        <w:t>(200 ng) was</w:t>
      </w:r>
      <w:r w:rsidRPr="00CF529B">
        <w:rPr>
          <w:rFonts w:cs="Arial"/>
        </w:rPr>
        <w:t xml:space="preserve"> directly used as starting material for SOLiD fragment library preparation (Life Technologies, Carlsbad CA, USA) following manufacturer’s recommendation. DNA was sheared to approximately 150 bp using the Covaris S2 system standard fragmentation conditions recommended in the SOLiD4 Library Prep User Guide. After DNA end-repair, P1 and P2 adaptors were ligated, the adaptor-ligated DNA underwent nick translation and then amplification with </w:t>
      </w:r>
      <w:r w:rsidRPr="00222CE0">
        <w:rPr>
          <w:rFonts w:cs="Arial"/>
        </w:rPr>
        <w:t>6 and 8 PCR cycles for germline and tumor</w:t>
      </w:r>
      <w:r w:rsidRPr="00CF529B">
        <w:rPr>
          <w:rFonts w:cs="Arial"/>
        </w:rPr>
        <w:t xml:space="preserve"> DNA respectively, using Library PCR primer 1 and 2, and Platinum PCR amplification mix. Purified library was quantified by TaqMan assay and used for preparing SOLiD templated beads. Each sequencing </w:t>
      </w:r>
      <w:r>
        <w:rPr>
          <w:rFonts w:cs="Arial"/>
        </w:rPr>
        <w:t>experiment generated</w:t>
      </w:r>
      <w:r w:rsidRPr="00CF529B">
        <w:rPr>
          <w:rFonts w:cs="Arial"/>
        </w:rPr>
        <w:t xml:space="preserve"> </w:t>
      </w:r>
      <w:r>
        <w:rPr>
          <w:rFonts w:cs="Arial"/>
        </w:rPr>
        <w:t>~500M 50-bp</w:t>
      </w:r>
      <w:r w:rsidRPr="00CF529B">
        <w:rPr>
          <w:rFonts w:cs="Arial"/>
        </w:rPr>
        <w:t xml:space="preserve"> reads per slide. The samples were sequenced over several runs each using </w:t>
      </w:r>
      <w:r>
        <w:rPr>
          <w:rFonts w:cs="Arial"/>
        </w:rPr>
        <w:t>the SOLiD</w:t>
      </w:r>
      <w:r w:rsidRPr="00CF529B">
        <w:rPr>
          <w:rFonts w:cs="Arial"/>
        </w:rPr>
        <w:t xml:space="preserve"> platforms generating more than 1</w:t>
      </w:r>
      <w:r>
        <w:rPr>
          <w:rFonts w:cs="Arial"/>
        </w:rPr>
        <w:t>.7</w:t>
      </w:r>
      <w:r w:rsidRPr="00CF529B">
        <w:rPr>
          <w:rFonts w:cs="Arial"/>
        </w:rPr>
        <w:t xml:space="preserve"> billion total raw reads per sample (</w:t>
      </w:r>
      <w:r w:rsidR="00BC6E1C" w:rsidRPr="00BC6E1C">
        <w:rPr>
          <w:rFonts w:cs="Arial"/>
        </w:rPr>
        <w:t xml:space="preserve">Table </w:t>
      </w:r>
      <w:r w:rsidR="00B538AA">
        <w:rPr>
          <w:rFonts w:cs="Arial"/>
        </w:rPr>
        <w:t>S</w:t>
      </w:r>
      <w:r w:rsidR="00BC6E1C" w:rsidRPr="00BC6E1C">
        <w:rPr>
          <w:rFonts w:cs="Arial"/>
        </w:rPr>
        <w:t>8</w:t>
      </w:r>
      <w:r w:rsidR="00B538AA">
        <w:rPr>
          <w:rFonts w:cs="Arial"/>
        </w:rPr>
        <w:t xml:space="preserve"> in File S2</w:t>
      </w:r>
      <w:r w:rsidRPr="00CF529B">
        <w:rPr>
          <w:rFonts w:cs="Arial"/>
        </w:rPr>
        <w:t>).</w:t>
      </w:r>
    </w:p>
    <w:p w:rsidR="00B70879" w:rsidRPr="00E01C01" w:rsidRDefault="00B70879" w:rsidP="00B70879">
      <w:pPr>
        <w:spacing w:after="120" w:line="480" w:lineRule="auto"/>
        <w:rPr>
          <w:rFonts w:cs="Arial"/>
          <w:szCs w:val="22"/>
        </w:rPr>
      </w:pPr>
      <w:r w:rsidRPr="00E01C01">
        <w:rPr>
          <w:rFonts w:cs="Arial"/>
          <w:i/>
          <w:szCs w:val="22"/>
        </w:rPr>
        <w:t>Computational analysis</w:t>
      </w:r>
      <w:r>
        <w:rPr>
          <w:rFonts w:cs="Arial"/>
          <w:i/>
          <w:szCs w:val="22"/>
        </w:rPr>
        <w:t xml:space="preserve"> of </w:t>
      </w:r>
      <w:r w:rsidRPr="00E01C01">
        <w:rPr>
          <w:rFonts w:cs="Arial"/>
          <w:i/>
          <w:szCs w:val="22"/>
        </w:rPr>
        <w:t>DNA</w:t>
      </w:r>
      <w:r>
        <w:rPr>
          <w:rFonts w:cs="Arial"/>
          <w:i/>
          <w:szCs w:val="22"/>
        </w:rPr>
        <w:t xml:space="preserve"> sequencing reads</w:t>
      </w:r>
      <w:r w:rsidRPr="00E01C01">
        <w:rPr>
          <w:rFonts w:cs="Arial"/>
          <w:i/>
          <w:szCs w:val="22"/>
        </w:rPr>
        <w:t>.</w:t>
      </w:r>
      <w:r>
        <w:rPr>
          <w:rFonts w:cs="Arial"/>
          <w:i/>
          <w:szCs w:val="22"/>
        </w:rPr>
        <w:t xml:space="preserve"> </w:t>
      </w:r>
      <w:r w:rsidRPr="00E01C01">
        <w:rPr>
          <w:rFonts w:cs="Arial"/>
          <w:szCs w:val="22"/>
        </w:rPr>
        <w:t>We used Bioscope version 1.3.1</w:t>
      </w:r>
      <w:r w:rsidRPr="00A2339F">
        <w:rPr>
          <w:rFonts w:cs="Arial"/>
          <w:szCs w:val="22"/>
        </w:rPr>
        <w:t xml:space="preserve"> </w:t>
      </w:r>
      <w:r w:rsidRPr="00E01C01">
        <w:rPr>
          <w:rFonts w:cs="Arial"/>
          <w:szCs w:val="22"/>
        </w:rPr>
        <w:t>with default settings</w:t>
      </w:r>
      <w:r>
        <w:rPr>
          <w:rFonts w:cs="Arial"/>
          <w:szCs w:val="22"/>
        </w:rPr>
        <w:t xml:space="preserve"> </w:t>
      </w:r>
      <w:r w:rsidRPr="00E01C01">
        <w:rPr>
          <w:rFonts w:cs="Arial"/>
          <w:szCs w:val="22"/>
        </w:rPr>
        <w:t xml:space="preserve">to perform sequence alignment of </w:t>
      </w:r>
      <w:r>
        <w:rPr>
          <w:rFonts w:cs="Arial"/>
          <w:szCs w:val="22"/>
        </w:rPr>
        <w:t xml:space="preserve">SOLiD </w:t>
      </w:r>
      <w:r w:rsidRPr="00E01C01">
        <w:rPr>
          <w:rFonts w:cs="Arial"/>
          <w:szCs w:val="22"/>
        </w:rPr>
        <w:t>color-space raw reads to th</w:t>
      </w:r>
      <w:r>
        <w:rPr>
          <w:rFonts w:cs="Arial"/>
          <w:szCs w:val="22"/>
        </w:rPr>
        <w:t>e NCBI human reference genome (h</w:t>
      </w:r>
      <w:r w:rsidRPr="00E01C01">
        <w:rPr>
          <w:rFonts w:cs="Arial"/>
          <w:szCs w:val="22"/>
        </w:rPr>
        <w:t xml:space="preserve">g19). Initial alignments were refined by base quality recalibration and local </w:t>
      </w:r>
      <w:r>
        <w:rPr>
          <w:rFonts w:cs="Arial"/>
          <w:szCs w:val="22"/>
        </w:rPr>
        <w:t>re-</w:t>
      </w:r>
      <w:r w:rsidRPr="00E01C01">
        <w:rPr>
          <w:rFonts w:cs="Arial"/>
          <w:szCs w:val="22"/>
        </w:rPr>
        <w:t>alignment using GATK v2 (Genome Analysis Tool Kit)</w:t>
      </w:r>
      <w:r w:rsidR="005348D6">
        <w:rPr>
          <w:rFonts w:cs="Arial"/>
          <w:szCs w:val="22"/>
        </w:rPr>
        <w:fldChar w:fldCharType="begin"/>
      </w:r>
      <w:r w:rsidR="000D0487">
        <w:rPr>
          <w:rFonts w:cs="Arial"/>
          <w:szCs w:val="22"/>
        </w:rPr>
        <w:instrText>ADDIN CSL_CITATION {"mendeley": {"previouslyFormattedCitation": "(4)"}, "citationItems": [{"uris": ["http://www.mendeley.com/documents/?uuid=d9386c46-f52f-4110-9439-8b7e9c1d5734"], "id": "ITEM-1", "itemData": {"publisher": "Nature Publishing Group, a division of Macmillan Publishers Limited. All Rights Reserved.", "DOI": "10.1038/ng.806", "type": "article-journal", "shortTitle": "Nat Genet", "author": [{"given": "Mark A", "dropping-particle": "", "suffix": "", "family": "DePristo", "parse-names": false, "non-dropping-particle": ""}, {"given": "Eric", "dropping-particle": "", "suffix": "", "family": "Banks", "parse-names": false, "non-dropping-particle": ""}, {"given": "Ryan", "dropping-particle": "", "suffix": "", "family": "Poplin", "parse-names": false, "non-dropping-particle": ""}, {"given": "Kiran", "dropping-particle": "V", "suffix": "", "family": "Garimella", "parse-names": false, "non-dropping-particle": ""}, {"given": "Jared R", "dropping-particle": "", "suffix": "", "family": "Maguire", "parse-names": false, "non-dropping-particle": ""}, {"given": "Christopher", "dropping-particle": "", "suffix": "", "family": "Hartl", "parse-names": false, "non-dropping-particle": ""}, {"given": "Anthony A", "dropping-particle": "", "suffix": "", "family": "Philippakis", "parse-names": false, "non-dropping-particle": ""}, {"given": "Guillermo", "dropping-particle": "", "suffix": "", "family": "Angel", "parse-names": false, "non-dropping-particle": "del"}, {"given": "Manuel A", "dropping-particle": "", "suffix": "", "family": "Rivas", "parse-names": false, "non-dropping-particle": ""}, {"given": "Matt", "dropping-particle": "", "suffix": "", "family": "Hanna", "parse-names": false, "non-dropping-particle": ""}, {"given": "Aaron", "dropping-particle": "", "suffix": "", "family": "McKenna", "parse-names": false, "non-dropping-particle": ""}, {"given": "Tim J", "dropping-particle": "", "suffix": "", "family": "Fennell", "parse-names": false, "non-dropping-particle": ""}, {"given": "Andrew M", "dropping-particle": "", "suffix": "", "family": "Kernytsky", "parse-names": false, "non-dropping-particle": ""}, {"given": "Andrey Y", "dropping-particle": "", "suffix": "", "family": "Sivachenko", "parse-names": false, "non-dropping-particle": ""}, {"given": "Kristian", "dropping-particle": "", "suffix": "", "family": "Cibulskis", "parse-names": false, "non-dropping-particle": ""}, {"given": "Stacey B", "dropping-particle": "", "suffix": "", "family": "Gabriel", "parse-names": false, "non-dropping-particle": ""}, {"given": "David", "dropping-particle": "", "suffix": "", "family": "Altshuler", "parse-names": false, "non-dropping-particle": ""}, {"given": "Mark J", "dropping-particle": "", "suffix": "", "family": "Daly", "parse-names": false, "non-dropping-particle": ""}], "issued": {"date-parts": [["2011", "5"]]}, "abstract": "Recent advances in sequencing technology make it possible to comprehensively catalog genetic variation in population samples, creating a foundation for understanding human disease, ancestry and evolution. The amounts of raw data produced are prodigious, and many computational steps are required to translate this output into high-quality variant calls. We present a unified analytic framework to discover and genotype variation among multiple samples simultaneously that achieves sensitive and specific results across five sequencing technologies and three distinct, canonical experimental designs. Our process includes (i) initial read mapping; (ii) local realignment around indels; (iii) base quality score recalibration; (iv) SNP discovery and genotyping to find all potential variants; and (v) machine learning to separate true segregating variation from machine artifacts common to next-generation sequencing technologies. We here discuss the application of these tools, instantiated in the Genome Analysis Toolkit, to deep whole-genome, whole-exome capture and multi-sample low-pass (\u223c4\u00d7) 1000 Genomes Project datasets.", "title": "A framework for variation discovery and genotyping using next-generation DNA sequencing data", "page": "491-8", "volume": "43", "container-title": "Nat Genet", "issue": "5", "id": "ITEM-1"}}], "properties": {"noteIndex": 0}, "schema": "https://github.com/citation-style-language/schema/raw/master/csl-citation.json"}</w:instrText>
      </w:r>
      <w:r w:rsidR="005348D6">
        <w:rPr>
          <w:rFonts w:cs="Arial"/>
          <w:szCs w:val="22"/>
        </w:rPr>
        <w:fldChar w:fldCharType="separate"/>
      </w:r>
      <w:r w:rsidR="000D0487" w:rsidRPr="000D0487">
        <w:rPr>
          <w:rFonts w:cs="Arial"/>
          <w:noProof/>
          <w:szCs w:val="22"/>
        </w:rPr>
        <w:t>(4)</w:t>
      </w:r>
      <w:r w:rsidR="005348D6">
        <w:rPr>
          <w:rFonts w:cs="Arial"/>
          <w:szCs w:val="22"/>
        </w:rPr>
        <w:fldChar w:fldCharType="end"/>
      </w:r>
      <w:r>
        <w:rPr>
          <w:rFonts w:cs="Arial"/>
          <w:szCs w:val="22"/>
        </w:rPr>
        <w:t>. T</w:t>
      </w:r>
      <w:r w:rsidRPr="00E01C01">
        <w:rPr>
          <w:rFonts w:cs="Arial"/>
          <w:szCs w:val="22"/>
        </w:rPr>
        <w:t xml:space="preserve">o remove PCR duplicates </w:t>
      </w:r>
      <w:r>
        <w:rPr>
          <w:rFonts w:cs="Arial"/>
          <w:szCs w:val="22"/>
        </w:rPr>
        <w:t xml:space="preserve">we used </w:t>
      </w:r>
      <w:r w:rsidRPr="00E01C01">
        <w:rPr>
          <w:rFonts w:cs="Arial"/>
          <w:szCs w:val="22"/>
        </w:rPr>
        <w:t xml:space="preserve">Picard </w:t>
      </w:r>
      <w:r>
        <w:rPr>
          <w:rFonts w:cs="Arial"/>
          <w:szCs w:val="22"/>
        </w:rPr>
        <w:t>v</w:t>
      </w:r>
      <w:r w:rsidRPr="00E01C01">
        <w:rPr>
          <w:rFonts w:cs="Arial"/>
          <w:szCs w:val="22"/>
        </w:rPr>
        <w:t>1.42</w:t>
      </w:r>
      <w:r w:rsidR="005348D6">
        <w:rPr>
          <w:rFonts w:cs="Arial"/>
          <w:szCs w:val="22"/>
        </w:rPr>
        <w:fldChar w:fldCharType="begin"/>
      </w:r>
      <w:r w:rsidR="000D0487">
        <w:rPr>
          <w:rFonts w:cs="Arial"/>
          <w:szCs w:val="22"/>
        </w:rPr>
        <w:instrText>ADDIN CSL_CITATION {"mendeley": {"previouslyFormattedCitation": "(5)"}, "citationItems": [{"uris": ["http://www.mendeley.com/documents/?uuid=0e58721a-2ce0-4990-8a5d-5d092abf0526"], "id": "ITEM-1", "itemData": {"URL": "http://picard.sourceforge.net", "issued": {"date-parts": [["0"]]}, "type": "webpage", "id": "ITEM-1", "title": "Picard command line tools"}}], "properties": {"noteIndex": 0}, "schema": "https://github.com/citation-style-language/schema/raw/master/csl-citation.json"}</w:instrText>
      </w:r>
      <w:r w:rsidR="005348D6">
        <w:rPr>
          <w:rFonts w:cs="Arial"/>
          <w:szCs w:val="22"/>
        </w:rPr>
        <w:fldChar w:fldCharType="separate"/>
      </w:r>
      <w:r w:rsidR="000D0487" w:rsidRPr="000D0487">
        <w:rPr>
          <w:rFonts w:cs="Arial"/>
          <w:noProof/>
          <w:szCs w:val="22"/>
        </w:rPr>
        <w:t>(5)</w:t>
      </w:r>
      <w:r w:rsidR="005348D6">
        <w:rPr>
          <w:rFonts w:cs="Arial"/>
          <w:szCs w:val="22"/>
        </w:rPr>
        <w:fldChar w:fldCharType="end"/>
      </w:r>
      <w:r>
        <w:rPr>
          <w:rFonts w:cs="Arial"/>
          <w:szCs w:val="22"/>
        </w:rPr>
        <w:t xml:space="preserve"> because it</w:t>
      </w:r>
      <w:r w:rsidRPr="00E01C01">
        <w:rPr>
          <w:rFonts w:cs="Arial"/>
          <w:szCs w:val="22"/>
        </w:rPr>
        <w:t xml:space="preserve"> retains the read w</w:t>
      </w:r>
      <w:r>
        <w:rPr>
          <w:rFonts w:cs="Arial"/>
          <w:szCs w:val="22"/>
        </w:rPr>
        <w:t>ith the highest mapping quality</w:t>
      </w:r>
      <w:r w:rsidRPr="00E01C01">
        <w:rPr>
          <w:rFonts w:cs="Arial"/>
          <w:szCs w:val="22"/>
        </w:rPr>
        <w:t xml:space="preserve">. </w:t>
      </w:r>
      <w:r>
        <w:rPr>
          <w:rFonts w:cs="Arial"/>
          <w:szCs w:val="22"/>
        </w:rPr>
        <w:t>After removal of duplicate reads the germline and CD133+ tumor subpopulation had a coverage depth respectively of 13X and 5X (</w:t>
      </w:r>
      <w:r w:rsidR="00BC6E1C" w:rsidRPr="00BC6E1C">
        <w:rPr>
          <w:rFonts w:cs="Arial"/>
          <w:szCs w:val="22"/>
        </w:rPr>
        <w:t xml:space="preserve">Table </w:t>
      </w:r>
      <w:r w:rsidR="00B538AA">
        <w:rPr>
          <w:rFonts w:cs="Arial"/>
          <w:szCs w:val="22"/>
        </w:rPr>
        <w:t>S</w:t>
      </w:r>
      <w:r w:rsidR="00BC6E1C" w:rsidRPr="00BC6E1C">
        <w:rPr>
          <w:rFonts w:cs="Arial"/>
          <w:szCs w:val="22"/>
        </w:rPr>
        <w:t>8</w:t>
      </w:r>
      <w:r w:rsidR="00B538AA">
        <w:rPr>
          <w:rFonts w:cs="Arial"/>
          <w:szCs w:val="22"/>
        </w:rPr>
        <w:t xml:space="preserve"> in File S2</w:t>
      </w:r>
      <w:r>
        <w:rPr>
          <w:rFonts w:cs="Arial"/>
          <w:szCs w:val="22"/>
        </w:rPr>
        <w:t xml:space="preserve">). </w:t>
      </w:r>
      <w:r w:rsidRPr="00E01C01">
        <w:rPr>
          <w:rFonts w:cs="Arial"/>
          <w:szCs w:val="22"/>
        </w:rPr>
        <w:t>Somatic variants were identified from the alignment data using Varscan v2.2.3 somatic module</w:t>
      </w:r>
      <w:r w:rsidR="005348D6">
        <w:rPr>
          <w:rFonts w:cs="Arial"/>
          <w:szCs w:val="22"/>
        </w:rPr>
        <w:fldChar w:fldCharType="begin"/>
      </w:r>
      <w:r w:rsidR="000D0487">
        <w:rPr>
          <w:rFonts w:cs="Arial"/>
          <w:szCs w:val="22"/>
        </w:rPr>
        <w:instrText>ADDIN CSL_CITATION {"mendeley": {"previouslyFormattedCitation": "(6)"}, "citationItems": [{"uris": ["http://www.mendeley.com/documents/?uuid=092b5980-2bcd-49a6-8e5d-41cc1c8d3f31"], "id": "ITEM-1", "itemData": {"DOI": "10.1101/gr.129684.111", "type": "article-journal", "author": [{"given": "Daniel C", "dropping-particle": "", "suffix": "", "family": "Koboldt", "parse-names": false, "non-dropping-particle": ""}, {"given": "Qunyuan", "dropping-particle": "", "suffix": "", "family": "Zhang", "parse-names": false, "non-dropping-particle": ""}, {"given": "David E", "dropping-particle": "", "suffix": "", "family": "Larson", "parse-names": false, "non-dropping-particle": ""}, {"given": "Dong", "dropping-particle": "", "suffix": "", "family": "Shen", "parse-names": false, "non-dropping-particle": ""}, {"given": "Michael D", "dropping-particle": "", "suffix": "", "family": "McLellan", "parse-names": false, "non-dropping-particle": ""}, {"given": "Ling", "dropping-particle": "", "suffix": "", "family": "Lin", "parse-names": false, "non-dropping-particle": ""}, {"given": "Christopher A", "dropping-particle": "", "suffix": "", "family": "Miller", "parse-names": false, "non-dropping-particle": ""}, {"given": "Elaine R", "dropping-particle": "", "suffix": "", "family": "Mardis", "parse-names": false, "non-dropping-particle": ""}, {"given": "Li", "dropping-particle": "", "suffix": "", "family": "Ding", "parse-names": false, "non-dropping-particle": ""}, {"given": "Richard K", "dropping-particle": "", "suffix": "", "family": "Wilson", "parse-names": false, "non-dropping-particle": ""}], "issued": {"date-parts": [["2012", "2", "2"]]}, "abstract": "Cancer is a disease driven by genetic variation and mutation. Exome sequencing can be utilized for discovering these variants and mutations across hundreds of tumors. Here we present an analysis tool, VarScan 2, for the detection of somatic mutations and copy number alterations (CNAs) in exome data from tumor-normal pairs. Unlike most current approaches, our algorithm reads data from both samples simultaneously; a heuristic and statistical algorithm detects sequence variants and classifies them by somatic status (germline, somatic, or LOH); while a comparison of normalized read depth delineates relative copy number changes. We apply these methods to the analysis of exome sequence data from 151 high-grade ovarian tumors characterized as part of the Cancer Genome Atlas (TCGA). We validated some 7790 somatic coding mutations, achieving 93% sensitivity and 85% precision for single nucleotide variant (SNV) detection. Exome-based CNA analysis identified 29 large-scale alterations and 619 focal events per tumor on average. As in our previous analysis of these data, we observed frequent amplification of oncogenes (e.g., CCNE1, MYC) and deletion of tumor suppressors (NF1, PTEN, and CDKN2A). We searched for additional recurrent focal CNAs using the correlation matrix diagonal segmentation (CMDS) algorithm, which identified 424 significant events affecting 582 genes. Taken together, our results demonstrate the robust performance of VarScan 2 for somatic mutation and CNA detection and shed new light on the landscape of genetic alterations in ovarian cancer.", "title": "VarScan 2: Somatic mutation and copy number alteration discovery in cancer by exome sequencing", "page": "568-576", "volume": "22", "container-title": "Genome Res", "issue": "3", "id": "ITEM-1"}}], "properties": {"noteIndex": 0}, "schema": "https://github.com/citation-style-language/schema/raw/master/csl-citation.json"}</w:instrText>
      </w:r>
      <w:r w:rsidR="005348D6">
        <w:rPr>
          <w:rFonts w:cs="Arial"/>
          <w:szCs w:val="22"/>
        </w:rPr>
        <w:fldChar w:fldCharType="separate"/>
      </w:r>
      <w:r w:rsidR="000D0487" w:rsidRPr="000D0487">
        <w:rPr>
          <w:rFonts w:cs="Arial"/>
          <w:noProof/>
          <w:szCs w:val="22"/>
        </w:rPr>
        <w:t>(6)</w:t>
      </w:r>
      <w:r w:rsidR="005348D6">
        <w:rPr>
          <w:rFonts w:cs="Arial"/>
          <w:szCs w:val="22"/>
        </w:rPr>
        <w:fldChar w:fldCharType="end"/>
      </w:r>
      <w:r>
        <w:rPr>
          <w:rFonts w:cs="Arial"/>
          <w:szCs w:val="22"/>
        </w:rPr>
        <w:t>. To identify somatic single nucleotide variants (SNVs) we required</w:t>
      </w:r>
      <w:r w:rsidRPr="00E01C01">
        <w:rPr>
          <w:rFonts w:cs="Arial"/>
          <w:szCs w:val="22"/>
        </w:rPr>
        <w:t xml:space="preserve"> </w:t>
      </w:r>
      <w:r>
        <w:rPr>
          <w:rFonts w:cs="Arial"/>
          <w:szCs w:val="22"/>
        </w:rPr>
        <w:t>that 1) they</w:t>
      </w:r>
      <w:r w:rsidRPr="00E01C01">
        <w:rPr>
          <w:rFonts w:cs="Arial"/>
          <w:szCs w:val="22"/>
        </w:rPr>
        <w:t xml:space="preserve"> be supported by </w:t>
      </w:r>
      <w:r>
        <w:rPr>
          <w:rFonts w:cs="Arial"/>
          <w:szCs w:val="22"/>
        </w:rPr>
        <w:t>at least two reads in the tumor and 2)</w:t>
      </w:r>
      <w:r w:rsidRPr="00E01C01">
        <w:rPr>
          <w:rFonts w:cs="Arial"/>
          <w:szCs w:val="22"/>
        </w:rPr>
        <w:t xml:space="preserve"> </w:t>
      </w:r>
      <w:r>
        <w:rPr>
          <w:rFonts w:cs="Arial"/>
          <w:szCs w:val="22"/>
        </w:rPr>
        <w:t xml:space="preserve">the </w:t>
      </w:r>
      <w:r w:rsidRPr="00E01C01">
        <w:rPr>
          <w:rFonts w:cs="Arial"/>
          <w:szCs w:val="22"/>
        </w:rPr>
        <w:t xml:space="preserve">variant frequency </w:t>
      </w:r>
      <w:r>
        <w:rPr>
          <w:rFonts w:cs="Arial"/>
          <w:szCs w:val="22"/>
        </w:rPr>
        <w:t>for a heterozygote to</w:t>
      </w:r>
      <w:r w:rsidRPr="00E01C01">
        <w:rPr>
          <w:rFonts w:cs="Arial"/>
          <w:szCs w:val="22"/>
        </w:rPr>
        <w:t xml:space="preserve"> be greater than </w:t>
      </w:r>
      <w:r>
        <w:rPr>
          <w:rFonts w:cs="Arial"/>
          <w:szCs w:val="22"/>
        </w:rPr>
        <w:t>20%</w:t>
      </w:r>
      <w:r w:rsidRPr="00E01C01">
        <w:rPr>
          <w:rFonts w:cs="Arial"/>
          <w:szCs w:val="22"/>
        </w:rPr>
        <w:t xml:space="preserve">. </w:t>
      </w:r>
      <w:r>
        <w:rPr>
          <w:rFonts w:cs="Arial"/>
          <w:szCs w:val="22"/>
        </w:rPr>
        <w:t>To call s</w:t>
      </w:r>
      <w:r w:rsidRPr="00E01C01">
        <w:rPr>
          <w:rFonts w:cs="Arial"/>
          <w:szCs w:val="22"/>
        </w:rPr>
        <w:t>omatic indels</w:t>
      </w:r>
      <w:r>
        <w:rPr>
          <w:rFonts w:cs="Arial"/>
          <w:szCs w:val="22"/>
        </w:rPr>
        <w:t>, we required 1)</w:t>
      </w:r>
      <w:r w:rsidRPr="00E01C01">
        <w:rPr>
          <w:rFonts w:cs="Arial"/>
          <w:szCs w:val="22"/>
        </w:rPr>
        <w:t xml:space="preserve"> </w:t>
      </w:r>
      <w:r>
        <w:rPr>
          <w:rFonts w:cs="Arial"/>
          <w:szCs w:val="22"/>
        </w:rPr>
        <w:t>the</w:t>
      </w:r>
      <w:r w:rsidRPr="00E01C01">
        <w:rPr>
          <w:rFonts w:cs="Arial"/>
          <w:szCs w:val="22"/>
        </w:rPr>
        <w:t xml:space="preserve"> positions </w:t>
      </w:r>
      <w:r>
        <w:rPr>
          <w:rFonts w:cs="Arial"/>
          <w:szCs w:val="22"/>
        </w:rPr>
        <w:t>had to have a</w:t>
      </w:r>
      <w:r w:rsidRPr="00E01C01">
        <w:rPr>
          <w:rFonts w:cs="Arial"/>
          <w:szCs w:val="22"/>
        </w:rPr>
        <w:t xml:space="preserve"> minimum coverage greater than 10 in both the tumor and germline sample</w:t>
      </w:r>
      <w:r>
        <w:rPr>
          <w:rFonts w:cs="Arial"/>
          <w:szCs w:val="22"/>
        </w:rPr>
        <w:t xml:space="preserve">s and 2) </w:t>
      </w:r>
      <w:r w:rsidRPr="00E01C01">
        <w:rPr>
          <w:rFonts w:cs="Arial"/>
          <w:szCs w:val="22"/>
        </w:rPr>
        <w:t xml:space="preserve">clusters of false positives and SNV calls near indels </w:t>
      </w:r>
      <w:r>
        <w:rPr>
          <w:rFonts w:cs="Arial"/>
          <w:szCs w:val="22"/>
        </w:rPr>
        <w:t>to be</w:t>
      </w:r>
      <w:r w:rsidRPr="00E01C01">
        <w:rPr>
          <w:rFonts w:cs="Arial"/>
          <w:szCs w:val="22"/>
        </w:rPr>
        <w:t xml:space="preserve"> removed </w:t>
      </w:r>
      <w:r>
        <w:rPr>
          <w:rFonts w:cs="Arial"/>
          <w:szCs w:val="22"/>
        </w:rPr>
        <w:t xml:space="preserve">before </w:t>
      </w:r>
      <w:r w:rsidRPr="00E01C01">
        <w:rPr>
          <w:rFonts w:cs="Arial"/>
          <w:szCs w:val="22"/>
        </w:rPr>
        <w:t xml:space="preserve">using the Varscan somatic filter. </w:t>
      </w:r>
    </w:p>
    <w:p w:rsidR="00B70879" w:rsidRDefault="00B70879" w:rsidP="00B70879">
      <w:pPr>
        <w:spacing w:after="120" w:line="480" w:lineRule="auto"/>
        <w:rPr>
          <w:rFonts w:cs="Arial"/>
          <w:szCs w:val="22"/>
        </w:rPr>
      </w:pPr>
      <w:r w:rsidRPr="00E01C01">
        <w:rPr>
          <w:rFonts w:cs="Arial"/>
          <w:szCs w:val="22"/>
        </w:rPr>
        <w:t>To further reduce false positive calls, we removed variants with a low average alternate allele base quality score using the model based clustering algorithm, MCLUS</w:t>
      </w:r>
      <w:r>
        <w:rPr>
          <w:rFonts w:cs="Arial"/>
          <w:szCs w:val="22"/>
        </w:rPr>
        <w:t xml:space="preserve">T(77). </w:t>
      </w:r>
      <w:r w:rsidRPr="00E01C01">
        <w:rPr>
          <w:rFonts w:cs="Arial"/>
          <w:szCs w:val="22"/>
        </w:rPr>
        <w:t>MCLUST selects the optimal model according to BIC (Bayesian Information Criterion) for EM (Expectation Maximization) initialized by hierarchical clustering for parameterized Gaussian mixture models. Based on the observed bimodal distribution of the average alternate allele base quality score of the novel variants, we ran MCLUST with the default parameters except for G = 2, where G is the number of clusters for which</w:t>
      </w:r>
      <w:r>
        <w:rPr>
          <w:rFonts w:cs="Arial"/>
          <w:szCs w:val="22"/>
        </w:rPr>
        <w:t xml:space="preserve"> the BIC is to be calculated.  R</w:t>
      </w:r>
      <w:r w:rsidRPr="00E01C01">
        <w:rPr>
          <w:rFonts w:cs="Arial"/>
          <w:szCs w:val="22"/>
        </w:rPr>
        <w:t>esult</w:t>
      </w:r>
      <w:r>
        <w:rPr>
          <w:rFonts w:cs="Arial"/>
          <w:szCs w:val="22"/>
        </w:rPr>
        <w:t>s</w:t>
      </w:r>
      <w:r w:rsidRPr="00E01C01">
        <w:rPr>
          <w:rFonts w:cs="Arial"/>
          <w:szCs w:val="22"/>
        </w:rPr>
        <w:t xml:space="preserve"> </w:t>
      </w:r>
      <w:r>
        <w:rPr>
          <w:rFonts w:cs="Arial"/>
          <w:szCs w:val="22"/>
        </w:rPr>
        <w:t>consisted of</w:t>
      </w:r>
      <w:r w:rsidRPr="00E01C01">
        <w:rPr>
          <w:rFonts w:cs="Arial"/>
          <w:szCs w:val="22"/>
        </w:rPr>
        <w:t xml:space="preserve"> two different z scores (Z</w:t>
      </w:r>
      <w:r w:rsidRPr="00E01C01">
        <w:rPr>
          <w:rFonts w:cs="Arial"/>
          <w:szCs w:val="22"/>
          <w:vertAlign w:val="subscript"/>
        </w:rPr>
        <w:t>1</w:t>
      </w:r>
      <w:r w:rsidRPr="00E01C01">
        <w:rPr>
          <w:rFonts w:cs="Arial"/>
          <w:szCs w:val="22"/>
        </w:rPr>
        <w:t xml:space="preserve"> and Z</w:t>
      </w:r>
      <w:r w:rsidRPr="00E01C01">
        <w:rPr>
          <w:rFonts w:cs="Arial"/>
          <w:szCs w:val="22"/>
          <w:vertAlign w:val="subscript"/>
        </w:rPr>
        <w:t>2</w:t>
      </w:r>
      <w:r>
        <w:rPr>
          <w:rFonts w:cs="Arial"/>
          <w:szCs w:val="22"/>
        </w:rPr>
        <w:t>) for each variant site;</w:t>
      </w:r>
      <w:r w:rsidRPr="00E01C01">
        <w:rPr>
          <w:rFonts w:cs="Arial"/>
          <w:szCs w:val="22"/>
        </w:rPr>
        <w:t xml:space="preserve"> Z</w:t>
      </w:r>
      <w:r w:rsidRPr="00E01C01">
        <w:rPr>
          <w:rFonts w:cs="Arial"/>
          <w:szCs w:val="22"/>
          <w:vertAlign w:val="subscript"/>
        </w:rPr>
        <w:t>1</w:t>
      </w:r>
      <w:r w:rsidRPr="00E01C01">
        <w:rPr>
          <w:rFonts w:cs="Arial"/>
          <w:szCs w:val="22"/>
        </w:rPr>
        <w:t xml:space="preserve"> and Z</w:t>
      </w:r>
      <w:r w:rsidRPr="00E01C01">
        <w:rPr>
          <w:rFonts w:cs="Arial"/>
          <w:szCs w:val="22"/>
          <w:vertAlign w:val="subscript"/>
        </w:rPr>
        <w:t>2</w:t>
      </w:r>
      <w:r w:rsidRPr="00E01C01">
        <w:rPr>
          <w:rFonts w:cs="Arial"/>
          <w:szCs w:val="22"/>
        </w:rPr>
        <w:t xml:space="preserve"> </w:t>
      </w:r>
      <w:r>
        <w:rPr>
          <w:rFonts w:cs="Arial"/>
          <w:szCs w:val="22"/>
        </w:rPr>
        <w:t>being</w:t>
      </w:r>
      <w:r w:rsidRPr="00E01C01">
        <w:rPr>
          <w:rFonts w:cs="Arial"/>
          <w:szCs w:val="22"/>
        </w:rPr>
        <w:t xml:space="preserve"> the probabilities of a novel variant belonging to the first cluster and the second cluster (Z</w:t>
      </w:r>
      <w:r w:rsidRPr="00E01C01">
        <w:rPr>
          <w:rFonts w:cs="Arial"/>
          <w:szCs w:val="22"/>
          <w:vertAlign w:val="subscript"/>
        </w:rPr>
        <w:t>1</w:t>
      </w:r>
      <w:r w:rsidRPr="00E01C01">
        <w:rPr>
          <w:rFonts w:cs="Arial"/>
          <w:szCs w:val="22"/>
        </w:rPr>
        <w:t xml:space="preserve"> = 1 – Z</w:t>
      </w:r>
      <w:r w:rsidRPr="00E01C01">
        <w:rPr>
          <w:rFonts w:cs="Arial"/>
          <w:szCs w:val="22"/>
          <w:vertAlign w:val="subscript"/>
        </w:rPr>
        <w:t>2</w:t>
      </w:r>
      <w:r w:rsidRPr="00E01C01">
        <w:rPr>
          <w:rFonts w:cs="Arial"/>
          <w:szCs w:val="22"/>
        </w:rPr>
        <w:t>).  To find the minimum alternate allele base quality (AABQ) score for all novel variant sites we selected the minimum AABQ that had a z score of being in the second distribution (Z</w:t>
      </w:r>
      <w:r w:rsidRPr="00E01C01">
        <w:rPr>
          <w:rFonts w:cs="Arial"/>
          <w:szCs w:val="22"/>
          <w:vertAlign w:val="subscript"/>
        </w:rPr>
        <w:t>2</w:t>
      </w:r>
      <w:r w:rsidRPr="00E01C01">
        <w:rPr>
          <w:rFonts w:cs="Arial"/>
          <w:szCs w:val="22"/>
        </w:rPr>
        <w:t>) &gt;= 0.95.  The second distribution of t</w:t>
      </w:r>
      <w:r>
        <w:rPr>
          <w:rFonts w:cs="Arial"/>
          <w:szCs w:val="22"/>
        </w:rPr>
        <w:t>he novel variant sites’ AABQ had</w:t>
      </w:r>
      <w:r w:rsidRPr="00E01C01">
        <w:rPr>
          <w:rFonts w:cs="Arial"/>
          <w:szCs w:val="22"/>
        </w:rPr>
        <w:t xml:space="preserve"> a similar distribution to the AABQ of known variant sites; this is why we chose a probability of 0.95 of being in Z</w:t>
      </w:r>
      <w:r w:rsidRPr="00E01C01">
        <w:rPr>
          <w:rFonts w:cs="Arial"/>
          <w:szCs w:val="22"/>
          <w:vertAlign w:val="subscript"/>
        </w:rPr>
        <w:t>2</w:t>
      </w:r>
      <w:r w:rsidRPr="00E01C01">
        <w:rPr>
          <w:rFonts w:cs="Arial"/>
          <w:szCs w:val="22"/>
        </w:rPr>
        <w:t xml:space="preserve"> as the minimum z score. After calculating the minimum AABQ for novel variant sites we applied this minimum AABQ score to all variant sites, novel and known sites. </w:t>
      </w:r>
      <w:r>
        <w:rPr>
          <w:rFonts w:cs="Arial"/>
          <w:szCs w:val="22"/>
        </w:rPr>
        <w:t xml:space="preserve">Summary information on the germline variants, somatic single nucleotide and indel mutations is given in </w:t>
      </w:r>
      <w:r w:rsidRPr="00BC6E1C">
        <w:rPr>
          <w:rFonts w:cs="Arial"/>
          <w:szCs w:val="22"/>
        </w:rPr>
        <w:t xml:space="preserve">Tables </w:t>
      </w:r>
      <w:r w:rsidR="00B538AA">
        <w:rPr>
          <w:rFonts w:cs="Arial"/>
          <w:szCs w:val="22"/>
        </w:rPr>
        <w:t>S</w:t>
      </w:r>
      <w:r w:rsidR="00BC6E1C">
        <w:rPr>
          <w:rFonts w:cs="Arial"/>
          <w:szCs w:val="22"/>
        </w:rPr>
        <w:t>4,</w:t>
      </w:r>
      <w:r w:rsidR="00B538AA">
        <w:rPr>
          <w:rFonts w:cs="Arial"/>
          <w:szCs w:val="22"/>
        </w:rPr>
        <w:t>S</w:t>
      </w:r>
      <w:r w:rsidR="00BC6E1C">
        <w:rPr>
          <w:rFonts w:cs="Arial"/>
          <w:szCs w:val="22"/>
        </w:rPr>
        <w:t>8,</w:t>
      </w:r>
      <w:r w:rsidR="00B538AA">
        <w:rPr>
          <w:rFonts w:cs="Arial"/>
          <w:szCs w:val="22"/>
        </w:rPr>
        <w:t>S</w:t>
      </w:r>
      <w:r w:rsidR="00BC6E1C">
        <w:rPr>
          <w:rFonts w:cs="Arial"/>
          <w:szCs w:val="22"/>
        </w:rPr>
        <w:t>9</w:t>
      </w:r>
      <w:r w:rsidR="00B538AA">
        <w:rPr>
          <w:rFonts w:cs="Arial"/>
          <w:szCs w:val="22"/>
        </w:rPr>
        <w:t xml:space="preserve"> in File S2</w:t>
      </w:r>
      <w:r>
        <w:rPr>
          <w:rFonts w:cs="Arial"/>
          <w:szCs w:val="22"/>
        </w:rPr>
        <w:t>.</w:t>
      </w:r>
    </w:p>
    <w:p w:rsidR="00B70879" w:rsidRDefault="00B70879" w:rsidP="00B70879">
      <w:pPr>
        <w:spacing w:after="120" w:line="480" w:lineRule="auto"/>
        <w:rPr>
          <w:rFonts w:cs="Arial"/>
          <w:szCs w:val="22"/>
        </w:rPr>
      </w:pPr>
      <w:r>
        <w:rPr>
          <w:rFonts w:cs="Arial"/>
          <w:szCs w:val="22"/>
        </w:rPr>
        <w:t xml:space="preserve">To perform our focused mutation analysis of disease-relevant genes, we first downloaded the known somatic mutation positions for the 17 </w:t>
      </w:r>
      <w:r w:rsidRPr="004B2DD2">
        <w:rPr>
          <w:rFonts w:cs="Arial"/>
          <w:szCs w:val="22"/>
        </w:rPr>
        <w:t>known NSCLC genes from v54 of the COSMIC database</w:t>
      </w:r>
      <w:r w:rsidR="005348D6" w:rsidRPr="004B2DD2">
        <w:rPr>
          <w:rFonts w:cs="Arial"/>
          <w:szCs w:val="22"/>
        </w:rPr>
        <w:fldChar w:fldCharType="begin"/>
      </w:r>
      <w:r w:rsidR="000D0487">
        <w:rPr>
          <w:rFonts w:cs="Arial"/>
          <w:szCs w:val="22"/>
        </w:rPr>
        <w:instrText>ADDIN CSL_CITATION {"mendeley": {"previouslyFormattedCitation": "(3)"}, "citationItems": [{"uris": ["http://www.mendeley.com/documents/?uuid=452a9ce3-a853-488b-8a2c-1aba03453103"], "id": "ITEM-1", "itemData": {"publisher": "Cancer Research UK", "DOI": "10.1038/sj.bjc.6601894", "type": "article-journal", "shortTitle": "Br J Cancer", "author": [{"given": "S", "dropping-particle": "", "suffix": "", "family": "Bamford", "parse-names": false, "non-dropping-particle": ""}, {"given": "E", "dropping-particle": "", "suffix": "", "family": "Dawson", "parse-names": false, "non-dropping-particle": ""}, {"given": "S", "dropping-particle": "", "suffix": "", "family": "Forbes", "parse-names": false, "non-dropping-particle": ""}, {"given": "J", "dropping-particle": "", "suffix": "", "family": "Clements", "parse-names": false, "non-dropping-particle": ""}, {"given": "R", "dropping-particle": "", "suffix": "", "family": "Pettett", "parse-names": false, "non-dropping-particle": ""}, {"given": "A", "dropping-particle": "", "suffix": "", "family": "Dogan", "parse-names": false, "non-dropping-particle": ""}, {"given": "A", "dropping-particle": "", "suffix": "", "family": "Flanagan", "parse-names": false, "non-dropping-particle": ""}, {"given": "J", "dropping-particle": "", "suffix": "", "family": "Teague", "parse-names": false, "non-dropping-particle": ""}, {"given": "P A", "dropping-particle": "", "suffix": "", "family": "Futreal", "parse-names": false, "non-dropping-particle": ""}, {"given": "M R", "dropping-particle": "", "suffix": "", "family": "Stratton", "parse-names": false, "non-dropping-particle": ""}, {"given": "R", "dropping-particle": "", "suffix": "", "family": "Wooster", "parse-names": false, "non-dropping-particle": ""}], "issued": {"date-parts": [["2004", "7", "19"]]}, "abstract": "The discovery of mutations in cancer genes has advanced our understanding of cancer. These results are dispersed across the scientific literature and with the availability of the human genome sequence will continue to accrue. The COSMIC (Catalogue of Somatic Mutations in Cancer) database and website have been developed to store somatic mutation data in a single location and display the data and other information related to human cancer. To populate this resource, data has currently been extracted from reports in the scientific literature for somatic mutations in four genes, BRAF, HRAS, KRAS2 and NRAS. At present, the database holds information on 66 634 samples and reports a total of 10 647 mutations. Through the web pages, these data can be queried, displayed as figures or tables and exported in a number of formats. COSMIC is an ongoing project that will continue to curate somatic mutation data and release it through the website.", "title": "The COSMIC (Catalogue of Somatic Mutations in Cancer) database and website", "page": "355-8", "volume": "91", "container-title": "Br J Cancer", "issue": "2", "id": "ITEM-1"}}], "properties": {"noteIndex": 0}, "schema": "https://github.com/citation-style-language/schema/raw/master/csl-citation.json"}</w:instrText>
      </w:r>
      <w:r w:rsidR="005348D6" w:rsidRPr="004B2DD2">
        <w:rPr>
          <w:rFonts w:cs="Arial"/>
          <w:szCs w:val="22"/>
        </w:rPr>
        <w:fldChar w:fldCharType="separate"/>
      </w:r>
      <w:r w:rsidR="000D0487" w:rsidRPr="000D0487">
        <w:rPr>
          <w:rFonts w:cs="Arial"/>
          <w:noProof/>
          <w:szCs w:val="22"/>
        </w:rPr>
        <w:t>(3)</w:t>
      </w:r>
      <w:r w:rsidR="005348D6" w:rsidRPr="004B2DD2">
        <w:rPr>
          <w:rFonts w:cs="Arial"/>
          <w:szCs w:val="22"/>
        </w:rPr>
        <w:fldChar w:fldCharType="end"/>
      </w:r>
      <w:r w:rsidRPr="004B2DD2">
        <w:rPr>
          <w:rFonts w:cs="Arial"/>
          <w:szCs w:val="22"/>
        </w:rPr>
        <w:t xml:space="preserve">. </w:t>
      </w:r>
      <w:r>
        <w:rPr>
          <w:rFonts w:cs="Arial"/>
          <w:szCs w:val="22"/>
        </w:rPr>
        <w:t xml:space="preserve">We first quantified the percentage of each gene in which we could call variants, given our criteria described above. As tabulated in </w:t>
      </w:r>
      <w:r w:rsidR="00BC6E1C" w:rsidRPr="00BC6E1C">
        <w:rPr>
          <w:rFonts w:cs="Arial"/>
          <w:szCs w:val="22"/>
        </w:rPr>
        <w:t xml:space="preserve">Table </w:t>
      </w:r>
      <w:r w:rsidR="00B538AA">
        <w:rPr>
          <w:rFonts w:cs="Arial"/>
          <w:szCs w:val="22"/>
        </w:rPr>
        <w:t>S</w:t>
      </w:r>
      <w:r w:rsidR="00BC6E1C" w:rsidRPr="00BC6E1C">
        <w:rPr>
          <w:rFonts w:cs="Arial"/>
          <w:szCs w:val="22"/>
        </w:rPr>
        <w:t>11</w:t>
      </w:r>
      <w:r w:rsidR="00B538AA">
        <w:rPr>
          <w:rFonts w:cs="Arial"/>
          <w:szCs w:val="22"/>
        </w:rPr>
        <w:t xml:space="preserve"> in File S2</w:t>
      </w:r>
      <w:r>
        <w:rPr>
          <w:rFonts w:cs="Arial"/>
          <w:szCs w:val="22"/>
        </w:rPr>
        <w:t>, these percentages ranged from 20-48% for entire genes (i.e. intronic plus exonic regions) and 27-92% for only exonic regions. The known “actionable” mutations in EGFR all reside in exons 18-21, which had a coverage rate ranging from 7-66% (</w:t>
      </w:r>
      <w:r w:rsidR="00BC6E1C" w:rsidRPr="00BC6E1C">
        <w:rPr>
          <w:rFonts w:cs="Arial"/>
          <w:szCs w:val="22"/>
        </w:rPr>
        <w:t xml:space="preserve">Table </w:t>
      </w:r>
      <w:r w:rsidR="00B538AA">
        <w:rPr>
          <w:rFonts w:cs="Arial"/>
          <w:szCs w:val="22"/>
        </w:rPr>
        <w:t>S</w:t>
      </w:r>
      <w:r w:rsidR="00BC6E1C" w:rsidRPr="00BC6E1C">
        <w:rPr>
          <w:rFonts w:cs="Arial"/>
          <w:szCs w:val="22"/>
        </w:rPr>
        <w:t>12</w:t>
      </w:r>
      <w:r w:rsidR="00B538AA">
        <w:rPr>
          <w:rFonts w:cs="Arial"/>
          <w:szCs w:val="22"/>
        </w:rPr>
        <w:t xml:space="preserve"> in File S2</w:t>
      </w:r>
      <w:r>
        <w:rPr>
          <w:rFonts w:cs="Arial"/>
          <w:szCs w:val="22"/>
        </w:rPr>
        <w:t>). While these ranges of coverage did not allow us to comprehensively survey the entire exons for new somatic mutations, we were able to accurately call point mutations at L858 and L861—which respectively account for ~45% and 3% of all EGFR mutations</w:t>
      </w:r>
      <w:r w:rsidR="005348D6">
        <w:rPr>
          <w:rFonts w:cs="Arial"/>
          <w:szCs w:val="22"/>
        </w:rPr>
        <w:fldChar w:fldCharType="begin"/>
      </w:r>
      <w:r w:rsidR="000D0487">
        <w:rPr>
          <w:rFonts w:cs="Arial"/>
          <w:szCs w:val="22"/>
        </w:rPr>
        <w:instrText>ADDIN CSL_CITATION {"mendeley": {"previouslyFormattedCitation": "(7)"}, "citationItems": [{"uris": ["http://www.mendeley.com/documents/?uuid=4b394210-c139-4b41-8843-964ecc43510d"], "id": "ITEM-1", "itemData": {"DOI": "10.1158/1078-0432.CCR-11-3282", "author": [{"given": "Katerina", "dropping-particle": "", "suffix": "", "family": "Politi", "parse-names": false, "non-dropping-particle": ""}, {"given": "Thomas J", "dropping-particle": "", "suffix": "", "family": "Lynch", "parse-names": false, "non-dropping-particle": ""}], "issued": {"date-parts": [["2012", "3", "8"]]}, "abstract": "Most lung adenocarcinoma-associated EGF receptor (EGFR) mutations confer sensitivity to specific EGFR tyrosine kinase inhibitors. The finding that exon 19 insertion mutations are also sensitive to this class of drugs suggests that testing for these mutations should be done and that these patients will benefit from treatment with tyrosine kinase inhibitors. Clin Cancer Res; 18(6); 1-3. \u00a92012 AACR.", "title": "Two Sides of the Same Coin: EGFR Exon 19 Deletions and Insertions in Lung Cancer", "page": "1490-1492", "volume": "18", "container-title": "Clin Cancer Res", "type": "article-journal", "id": "ITEM-1"}}], "properties": {"noteIndex": 0}, "schema": "https://github.com/citation-style-language/schema/raw/master/csl-citation.json"}</w:instrText>
      </w:r>
      <w:r w:rsidR="005348D6">
        <w:rPr>
          <w:rFonts w:cs="Arial"/>
          <w:szCs w:val="22"/>
        </w:rPr>
        <w:fldChar w:fldCharType="separate"/>
      </w:r>
      <w:r w:rsidR="000D0487" w:rsidRPr="000D0487">
        <w:rPr>
          <w:rFonts w:cs="Arial"/>
          <w:noProof/>
          <w:szCs w:val="22"/>
        </w:rPr>
        <w:t>(7)</w:t>
      </w:r>
      <w:r w:rsidR="005348D6">
        <w:rPr>
          <w:rFonts w:cs="Arial"/>
          <w:szCs w:val="22"/>
        </w:rPr>
        <w:fldChar w:fldCharType="end"/>
      </w:r>
      <w:r>
        <w:rPr>
          <w:rFonts w:cs="Arial"/>
          <w:szCs w:val="22"/>
        </w:rPr>
        <w:t xml:space="preserve">. Position G719, which accounts for 2% of all EGFR mutations, was insufficiently covered for variant analysis. KRAS, on the other hand, was sufficiently covered such that we could evaluate the mutational status of all nucleotides corresponding to G12, G13, and Q61 in the KRAS protein, which is recommended by the FDA for testing to </w:t>
      </w:r>
      <w:r>
        <w:t>predict how patients will respond to certain EGFR inhibitor drugs</w:t>
      </w:r>
      <w:r>
        <w:rPr>
          <w:rFonts w:cs="Arial"/>
          <w:szCs w:val="22"/>
        </w:rPr>
        <w:t>.</w:t>
      </w:r>
    </w:p>
    <w:p w:rsidR="00B70879" w:rsidRDefault="00B70879" w:rsidP="00B70879">
      <w:pPr>
        <w:spacing w:after="120" w:line="480" w:lineRule="auto"/>
        <w:rPr>
          <w:rFonts w:cs="Arial"/>
          <w:szCs w:val="22"/>
        </w:rPr>
      </w:pPr>
      <w:r w:rsidRPr="00890281">
        <w:rPr>
          <w:rFonts w:cs="Arial"/>
          <w:i/>
          <w:szCs w:val="22"/>
        </w:rPr>
        <w:t>Analysis of TCGA data.</w:t>
      </w:r>
      <w:r w:rsidRPr="00890281">
        <w:rPr>
          <w:rFonts w:cs="Arial"/>
          <w:szCs w:val="22"/>
        </w:rPr>
        <w:t xml:space="preserve"> We downloaded </w:t>
      </w:r>
      <w:r>
        <w:rPr>
          <w:rFonts w:cs="Arial"/>
          <w:szCs w:val="22"/>
        </w:rPr>
        <w:t xml:space="preserve">the </w:t>
      </w:r>
      <w:r w:rsidRPr="00890281">
        <w:rPr>
          <w:rFonts w:cs="Arial"/>
          <w:szCs w:val="22"/>
        </w:rPr>
        <w:t xml:space="preserve">Level 3 RNAseq </w:t>
      </w:r>
      <w:r>
        <w:rPr>
          <w:rFonts w:cs="Arial"/>
          <w:szCs w:val="22"/>
        </w:rPr>
        <w:t xml:space="preserve">analysis </w:t>
      </w:r>
      <w:r w:rsidRPr="00890281">
        <w:rPr>
          <w:rFonts w:cs="Arial"/>
          <w:szCs w:val="22"/>
        </w:rPr>
        <w:t xml:space="preserve">data for </w:t>
      </w:r>
      <w:r>
        <w:rPr>
          <w:rFonts w:cs="Arial"/>
          <w:szCs w:val="22"/>
        </w:rPr>
        <w:t xml:space="preserve">the </w:t>
      </w:r>
      <w:r w:rsidRPr="00890281">
        <w:rPr>
          <w:rFonts w:cs="Arial"/>
          <w:szCs w:val="22"/>
        </w:rPr>
        <w:t xml:space="preserve">221 squamous cell lung (LUSC) tumors </w:t>
      </w:r>
      <w:r>
        <w:rPr>
          <w:rFonts w:cs="Arial"/>
          <w:szCs w:val="22"/>
        </w:rPr>
        <w:t xml:space="preserve">available </w:t>
      </w:r>
      <w:r w:rsidRPr="00890281">
        <w:rPr>
          <w:rFonts w:cs="Arial"/>
          <w:szCs w:val="22"/>
        </w:rPr>
        <w:t xml:space="preserve">from the TCGA </w:t>
      </w:r>
      <w:r w:rsidR="005348D6" w:rsidRPr="00890281">
        <w:rPr>
          <w:rFonts w:cs="Arial"/>
          <w:szCs w:val="22"/>
        </w:rPr>
        <w:fldChar w:fldCharType="begin"/>
      </w:r>
      <w:r w:rsidR="000D0487">
        <w:rPr>
          <w:rFonts w:cs="Arial"/>
          <w:szCs w:val="22"/>
        </w:rPr>
        <w:instrText>ADDIN CSL_CITATION {"mendeley": {"previouslyFormattedCitation": "(8)"}, "citationItems": [{"uris": ["http://www.mendeley.com/documents/?uuid=369f64d1-a245-43ef-b8de-51daaab316c3"], "id": "ITEM-1", "itemData": {"URL": "http://cancergenome.nih.gov", "issued": {"date-parts": [["0"]]}, "type": "webpage", "id": "ITEM-1", "title": "TCGA"}}], "properties": {"noteIndex": 0}, "schema": "https://github.com/citation-style-language/schema/raw/master/csl-citation.json"}</w:instrText>
      </w:r>
      <w:r w:rsidR="005348D6" w:rsidRPr="00890281">
        <w:rPr>
          <w:rFonts w:cs="Arial"/>
          <w:szCs w:val="22"/>
        </w:rPr>
        <w:fldChar w:fldCharType="separate"/>
      </w:r>
      <w:r w:rsidR="000D0487" w:rsidRPr="000D0487">
        <w:rPr>
          <w:rFonts w:cs="Arial"/>
          <w:noProof/>
          <w:szCs w:val="22"/>
        </w:rPr>
        <w:t>(8)</w:t>
      </w:r>
      <w:r w:rsidR="005348D6" w:rsidRPr="00890281">
        <w:rPr>
          <w:rFonts w:cs="Arial"/>
          <w:szCs w:val="22"/>
        </w:rPr>
        <w:fldChar w:fldCharType="end"/>
      </w:r>
      <w:r w:rsidRPr="00890281">
        <w:rPr>
          <w:rFonts w:cs="Arial"/>
          <w:szCs w:val="22"/>
        </w:rPr>
        <w:t xml:space="preserve"> on April 16, 2012. </w:t>
      </w:r>
      <w:r>
        <w:rPr>
          <w:rFonts w:cs="Arial"/>
          <w:szCs w:val="22"/>
        </w:rPr>
        <w:t>To assess the distribution of the expression level of a gene of interest, we extracted its RPKM from the 221 whole gene expression text files. To determine the averaged cumulative fractional distribution of RPKM values across all 221 samples, we histogrammed the RPKM values of each of the 221 whole gene expression text files, normalized each histogram by the number of genes (20,533), computed the average histogram, and then computed the averaged histogram’s cumulative fractional distribution.</w:t>
      </w:r>
    </w:p>
    <w:p w:rsidR="0023006B" w:rsidRDefault="00B70879" w:rsidP="00B70879">
      <w:pPr>
        <w:spacing w:after="120" w:line="480" w:lineRule="auto"/>
        <w:rPr>
          <w:rFonts w:cs="Arial"/>
          <w:szCs w:val="22"/>
        </w:rPr>
      </w:pPr>
      <w:r w:rsidRPr="00E01C01">
        <w:rPr>
          <w:rFonts w:cs="Arial"/>
          <w:i/>
          <w:szCs w:val="22"/>
        </w:rPr>
        <w:t>Quantitative RT-PCR.</w:t>
      </w:r>
      <w:r>
        <w:rPr>
          <w:rFonts w:cs="Arial"/>
          <w:i/>
          <w:szCs w:val="22"/>
        </w:rPr>
        <w:t xml:space="preserve"> </w:t>
      </w:r>
      <w:r>
        <w:rPr>
          <w:rFonts w:cs="Arial"/>
        </w:rPr>
        <w:t xml:space="preserve">RNA isolated from the </w:t>
      </w:r>
      <w:r>
        <w:rPr>
          <w:rFonts w:eastAsia="MS Gothic" w:cs="Arial"/>
          <w:color w:val="000000"/>
          <w:szCs w:val="22"/>
        </w:rPr>
        <w:t xml:space="preserve">CD133-/EpCAM+ </w:t>
      </w:r>
      <w:r w:rsidRPr="00A73620">
        <w:rPr>
          <w:rFonts w:eastAsia="MS Gothic" w:cs="Arial"/>
          <w:color w:val="000000"/>
          <w:szCs w:val="22"/>
        </w:rPr>
        <w:t xml:space="preserve">and </w:t>
      </w:r>
      <w:r>
        <w:rPr>
          <w:rFonts w:eastAsia="MS Gothic" w:cs="Arial"/>
          <w:color w:val="000000"/>
          <w:szCs w:val="22"/>
        </w:rPr>
        <w:t xml:space="preserve">CD133+/EpCAM+ </w:t>
      </w:r>
      <w:r>
        <w:rPr>
          <w:rFonts w:cs="Arial"/>
        </w:rPr>
        <w:t>tumor subpopulations</w:t>
      </w:r>
      <w:r w:rsidRPr="00260AC3">
        <w:rPr>
          <w:rFonts w:eastAsia="TimesNewRomanPS-BoldMT" w:cs="Arial"/>
          <w:bCs/>
        </w:rPr>
        <w:t xml:space="preserve"> </w:t>
      </w:r>
      <w:r>
        <w:rPr>
          <w:rFonts w:eastAsia="TimesNewRomanPS-BoldMT" w:cs="Arial"/>
          <w:bCs/>
        </w:rPr>
        <w:t>(50ng each) was used to generated</w:t>
      </w:r>
      <w:r w:rsidRPr="00E01C01">
        <w:rPr>
          <w:rFonts w:cs="Arial"/>
          <w:szCs w:val="22"/>
        </w:rPr>
        <w:t xml:space="preserve"> cDNA using SuperScript III First-Strand Synthesis SuperMix (Invitrogen</w:t>
      </w:r>
      <w:r>
        <w:rPr>
          <w:rFonts w:cs="Arial"/>
          <w:szCs w:val="22"/>
        </w:rPr>
        <w:t>,</w:t>
      </w:r>
      <w:r w:rsidRPr="0071211C">
        <w:rPr>
          <w:rFonts w:cs="Arial"/>
        </w:rPr>
        <w:t xml:space="preserve"> </w:t>
      </w:r>
      <w:r w:rsidRPr="00CF529B">
        <w:rPr>
          <w:rFonts w:cs="Arial"/>
        </w:rPr>
        <w:t>Carlsbad CA, USA</w:t>
      </w:r>
      <w:r w:rsidRPr="00E01C01">
        <w:rPr>
          <w:rFonts w:cs="Arial"/>
          <w:szCs w:val="22"/>
        </w:rPr>
        <w:t>) and quantitative PCR (qRT-PCR) was performed in duplicate on an iCycler (Bio-Rad) using SYBR GreenER Super Mix (Invitrogen</w:t>
      </w:r>
      <w:r>
        <w:rPr>
          <w:rFonts w:cs="Arial"/>
          <w:szCs w:val="22"/>
        </w:rPr>
        <w:t>,</w:t>
      </w:r>
      <w:r w:rsidRPr="0071211C">
        <w:rPr>
          <w:rFonts w:cs="Arial"/>
        </w:rPr>
        <w:t xml:space="preserve"> </w:t>
      </w:r>
      <w:r w:rsidRPr="00CF529B">
        <w:rPr>
          <w:rFonts w:cs="Arial"/>
        </w:rPr>
        <w:t>Carlsbad CA, USA</w:t>
      </w:r>
      <w:r w:rsidRPr="00E01C01">
        <w:rPr>
          <w:rFonts w:cs="Arial"/>
          <w:szCs w:val="22"/>
        </w:rPr>
        <w:t>). 5ng of template cDNA and 0.4mM of each forward and reverse primer was used per qRT-PCR reaction. The following primers were used:</w:t>
      </w:r>
      <w:r>
        <w:rPr>
          <w:rFonts w:cs="Arial"/>
          <w:i/>
          <w:szCs w:val="22"/>
        </w:rPr>
        <w:t xml:space="preserve"> </w:t>
      </w:r>
      <w:r w:rsidRPr="00E01C01">
        <w:rPr>
          <w:rFonts w:cs="Arial"/>
          <w:i/>
          <w:szCs w:val="22"/>
        </w:rPr>
        <w:t>MCL1</w:t>
      </w:r>
      <w:r w:rsidRPr="00E01C01">
        <w:rPr>
          <w:rFonts w:cs="Arial"/>
          <w:i/>
          <w:szCs w:val="22"/>
          <w:vertAlign w:val="subscript"/>
        </w:rPr>
        <w:t>L</w:t>
      </w:r>
      <w:r w:rsidRPr="00E01C01">
        <w:rPr>
          <w:rFonts w:cs="Arial"/>
          <w:szCs w:val="22"/>
        </w:rPr>
        <w:t xml:space="preserve"> Fwd/Rev: agaccttacgacgggttgg </w:t>
      </w:r>
      <w:r w:rsidRPr="00E01C01">
        <w:rPr>
          <w:rFonts w:cs="Arial"/>
          <w:i/>
          <w:szCs w:val="22"/>
        </w:rPr>
        <w:t xml:space="preserve">/ </w:t>
      </w:r>
      <w:r w:rsidRPr="00E01C01">
        <w:rPr>
          <w:rFonts w:cs="Arial"/>
          <w:szCs w:val="22"/>
        </w:rPr>
        <w:t xml:space="preserve">aatcctgccccagtttgtta, </w:t>
      </w:r>
      <w:r w:rsidRPr="00E01C01">
        <w:rPr>
          <w:rFonts w:cs="Arial"/>
          <w:i/>
          <w:szCs w:val="22"/>
        </w:rPr>
        <w:t>BCLX</w:t>
      </w:r>
      <w:r w:rsidRPr="00E01C01">
        <w:rPr>
          <w:rFonts w:cs="Arial"/>
          <w:i/>
          <w:szCs w:val="22"/>
          <w:vertAlign w:val="subscript"/>
        </w:rPr>
        <w:t>L</w:t>
      </w:r>
      <w:r w:rsidRPr="00E01C01">
        <w:rPr>
          <w:rFonts w:cs="Arial"/>
          <w:szCs w:val="22"/>
        </w:rPr>
        <w:t xml:space="preserve"> Fwd/Rev: catggcagcagtaaagcaag / gaaggagaaaaaggccacaa</w:t>
      </w:r>
      <w:r w:rsidRPr="00E01C01">
        <w:rPr>
          <w:rFonts w:cs="Arial"/>
          <w:i/>
          <w:szCs w:val="22"/>
        </w:rPr>
        <w:t>, cMYC</w:t>
      </w:r>
      <w:r w:rsidRPr="00E01C01">
        <w:rPr>
          <w:rFonts w:cs="Arial"/>
          <w:szCs w:val="22"/>
        </w:rPr>
        <w:t xml:space="preserve"> Fwd/Rev: acgtctccacacatcagcac / cgcctcttgacattctcctc, </w:t>
      </w:r>
      <w:r w:rsidRPr="00E01C01">
        <w:rPr>
          <w:rFonts w:cs="Arial"/>
          <w:i/>
          <w:szCs w:val="22"/>
        </w:rPr>
        <w:t>RPL27</w:t>
      </w:r>
      <w:r w:rsidRPr="00E01C01">
        <w:rPr>
          <w:rFonts w:cs="Arial"/>
          <w:szCs w:val="22"/>
        </w:rPr>
        <w:t xml:space="preserve"> Fwd/Rev: atcgccaagagatcaaagataa </w:t>
      </w:r>
      <w:r w:rsidRPr="00E01C01">
        <w:rPr>
          <w:rFonts w:cs="Arial"/>
          <w:i/>
          <w:szCs w:val="22"/>
        </w:rPr>
        <w:t xml:space="preserve">/ </w:t>
      </w:r>
      <w:r w:rsidRPr="00E01C01">
        <w:rPr>
          <w:rFonts w:cs="Arial"/>
          <w:szCs w:val="22"/>
        </w:rPr>
        <w:t>tctgaagacatccttattgacg</w:t>
      </w:r>
      <w:r>
        <w:rPr>
          <w:rFonts w:cs="Arial"/>
          <w:szCs w:val="22"/>
        </w:rPr>
        <w:t xml:space="preserve"> (not shown in </w:t>
      </w:r>
      <w:r w:rsidR="00BC6E1C" w:rsidRPr="00BC6E1C">
        <w:rPr>
          <w:rFonts w:cs="Arial"/>
          <w:szCs w:val="22"/>
        </w:rPr>
        <w:t xml:space="preserve">Figure </w:t>
      </w:r>
      <w:r w:rsidR="00B538AA">
        <w:rPr>
          <w:rFonts w:cs="Arial"/>
          <w:szCs w:val="22"/>
        </w:rPr>
        <w:t>S</w:t>
      </w:r>
      <w:r w:rsidR="00BC6E1C" w:rsidRPr="00BC6E1C">
        <w:rPr>
          <w:rFonts w:cs="Arial"/>
          <w:szCs w:val="22"/>
        </w:rPr>
        <w:t>7</w:t>
      </w:r>
      <w:r w:rsidR="00B538AA">
        <w:rPr>
          <w:rFonts w:cs="Arial"/>
          <w:szCs w:val="22"/>
        </w:rPr>
        <w:t xml:space="preserve"> of File S1</w:t>
      </w:r>
      <w:r>
        <w:rPr>
          <w:rFonts w:cs="Arial"/>
          <w:szCs w:val="22"/>
        </w:rPr>
        <w:t>)</w:t>
      </w:r>
      <w:r w:rsidRPr="00E01C01">
        <w:rPr>
          <w:rFonts w:cs="Arial"/>
          <w:szCs w:val="22"/>
        </w:rPr>
        <w:t>.</w:t>
      </w:r>
      <w:r w:rsidRPr="00E01C01">
        <w:rPr>
          <w:rFonts w:cs="Arial"/>
          <w:i/>
          <w:szCs w:val="22"/>
        </w:rPr>
        <w:t xml:space="preserve"> </w:t>
      </w:r>
      <w:r w:rsidRPr="00E01C01">
        <w:rPr>
          <w:rFonts w:cs="Arial"/>
          <w:szCs w:val="22"/>
        </w:rPr>
        <w:t>The specificity of the PCR reactions was confirmed by melting curve analysis and all products were verified by sequencing. mRNA levels for each transcript were normalized to RPL27 and compared between samples using the delta-delta CT method.</w:t>
      </w:r>
    </w:p>
    <w:p w:rsidR="00B70879" w:rsidRDefault="00B70879" w:rsidP="00B70879">
      <w:pPr>
        <w:spacing w:after="120" w:line="480" w:lineRule="auto"/>
        <w:rPr>
          <w:rFonts w:cs="Arial"/>
          <w:szCs w:val="22"/>
        </w:rPr>
      </w:pPr>
    </w:p>
    <w:p w:rsidR="0023006B" w:rsidRDefault="00B538AA" w:rsidP="00BF3285">
      <w:pPr>
        <w:spacing w:after="120" w:line="360" w:lineRule="auto"/>
        <w:rPr>
          <w:rFonts w:cs="Arial"/>
          <w:b/>
          <w:szCs w:val="22"/>
        </w:rPr>
      </w:pPr>
      <w:r>
        <w:rPr>
          <w:rFonts w:cs="Arial"/>
          <w:b/>
          <w:szCs w:val="22"/>
        </w:rPr>
        <w:t>SUPPORTING</w:t>
      </w:r>
      <w:r w:rsidR="00B70879">
        <w:rPr>
          <w:rFonts w:cs="Arial"/>
          <w:b/>
          <w:szCs w:val="22"/>
        </w:rPr>
        <w:t xml:space="preserve"> FIGURES</w:t>
      </w:r>
    </w:p>
    <w:p w:rsidR="0023006B" w:rsidRDefault="005348D6" w:rsidP="00BF3285">
      <w:pPr>
        <w:spacing w:after="120" w:line="360" w:lineRule="auto"/>
        <w:rPr>
          <w:rFonts w:cs="Arial"/>
          <w:b/>
          <w:szCs w:val="22"/>
        </w:rPr>
      </w:pPr>
      <w:r>
        <w:rPr>
          <w:rFonts w:cs="Arial"/>
          <w:b/>
          <w:noProof/>
          <w:szCs w:val="22"/>
        </w:rPr>
        <w:pict>
          <v:shapetype id="_x0000_t202" coordsize="21600,21600" o:spt="202" path="m0,0l0,21600,21600,21600,21600,0xe">
            <v:stroke joinstyle="miter"/>
            <v:path gradientshapeok="t" o:connecttype="rect"/>
          </v:shapetype>
          <v:shape id="Text Box 35" o:spid="_x0000_s1045" type="#_x0000_t202" style="position:absolute;margin-left:42.6pt;margin-top:59.85pt;width:6in;height:392pt;z-index:251671552;visibility:visible;mso-wrap-edited:f;mso-position-horizontal:absolute;mso-position-vertical:absolut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" filled="f" stroked="f">
            <v:textbox style="mso-next-textbox:#Text Box 35" inset=",7.2pt,,7.2pt">
              <w:txbxContent>
                <w:p w:rsidR="00AF072A" w:rsidRDefault="00AF072A" w:rsidP="0023006B">
                  <w:r>
                    <w:rPr>
                      <w:noProof/>
                    </w:rPr>
                    <w:drawing>
                      <wp:inline distT="0" distB="0" distL="0" distR="0">
                        <wp:extent cx="5303520" cy="4315460"/>
                        <wp:effectExtent l="25400" t="0" r="5080" b="0"/>
                        <wp:docPr id="29" name="Picture 4" descr="XN-XP-expression-his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N-XP-expression-hists.pdf"/>
                                <pic:cNvPicPr/>
                              </pic:nvPicPr>
                              <pic:blipFill>
                                <a:blip r:embed="rId7"/>
                                <a:stretch>
                                  <a:fillRect/>
                                </a:stretch>
                              </pic:blipFill>
                              <pic:spPr>
                                <a:xfrm>
                                  <a:off x="0" y="0"/>
                                  <a:ext cx="5303520" cy="4315460"/>
                                </a:xfrm>
                                <a:prstGeom prst="rect">
                                  <a:avLst/>
                                </a:prstGeom>
                              </pic:spPr>
                            </pic:pic>
                          </a:graphicData>
                        </a:graphic>
                      </wp:inline>
                    </w:drawing>
                  </w:r>
                </w:p>
                <w:p w:rsidR="00AF072A" w:rsidRDefault="00AF072A" w:rsidP="0023006B">
                  <w:r>
                    <w:rPr>
                      <w:b/>
                    </w:rPr>
                    <w:t xml:space="preserve">Figure </w:t>
                  </w:r>
                  <w:r w:rsidR="002C1979">
                    <w:rPr>
                      <w:b/>
                    </w:rPr>
                    <w:t>S</w:t>
                  </w:r>
                  <w:r>
                    <w:rPr>
                      <w:b/>
                    </w:rPr>
                    <w:t>1</w:t>
                  </w:r>
                  <w:r w:rsidRPr="006153D6">
                    <w:rPr>
                      <w:b/>
                    </w:rPr>
                    <w:t>:</w:t>
                  </w:r>
                  <w:r>
                    <w:t xml:space="preserve"> </w:t>
                  </w:r>
                  <w:r w:rsidRPr="00BF3285">
                    <w:t>Histograms of the expression values of all non-tRNA/rRNA mRNA isoforms before minimum expression and coverage filtering</w:t>
                  </w:r>
                  <w:r>
                    <w:rPr>
                      <w:b/>
                    </w:rPr>
                    <w:t>.</w:t>
                  </w:r>
                </w:p>
                <w:p w:rsidR="00AF072A" w:rsidRDefault="00AF072A" w:rsidP="0023006B"/>
              </w:txbxContent>
            </v:textbox>
            <w10:wrap type="tight"/>
          </v:shape>
        </w:pict>
      </w: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23006B" w:rsidRDefault="0023006B"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969D5" w:rsidRDefault="00B969D5" w:rsidP="00BF3285">
      <w:pPr>
        <w:spacing w:after="120" w:line="360" w:lineRule="auto"/>
        <w:rPr>
          <w:rFonts w:cs="Arial"/>
          <w:b/>
          <w:szCs w:val="22"/>
        </w:rPr>
      </w:pPr>
    </w:p>
    <w:p w:rsidR="00B969D5" w:rsidRDefault="00B538AA" w:rsidP="00BF3285">
      <w:pPr>
        <w:spacing w:after="120" w:line="360" w:lineRule="auto"/>
        <w:rPr>
          <w:rFonts w:cs="Arial"/>
          <w:b/>
          <w:szCs w:val="22"/>
        </w:rPr>
      </w:pPr>
      <w:r>
        <w:rPr>
          <w:rFonts w:cs="Arial"/>
          <w:noProof/>
          <w:szCs w:val="22"/>
        </w:rPr>
        <w:pict>
          <v:shape id="Text Box 36" o:spid="_x0000_s1071" type="#_x0000_t202" style="position:absolute;margin-left:12.5pt;margin-top:353.05pt;width:515.5pt;height:252pt;z-index:251682816;visibility:visible;mso-wrap-edited:f;mso-position-horizontal:absolute;mso-position-vertical:absolut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" filled="f" stroked="f">
            <v:textbox style="mso-next-textbox:#Text Box 36" inset=",7.2pt,,7.2pt">
              <w:txbxContent>
                <w:p w:rsidR="00B538AA" w:rsidRDefault="00B538AA" w:rsidP="00B538AA">
                  <w:r>
                    <w:rPr>
                      <w:noProof/>
                    </w:rPr>
                    <w:drawing>
                      <wp:inline distT="0" distB="0" distL="0" distR="0">
                        <wp:extent cx="6363970" cy="2094230"/>
                        <wp:effectExtent l="25400" t="0" r="11430" b="0"/>
                        <wp:docPr id="10" name="Picture 3" descr="AA0991 May2011 S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991 May2011 Sort.pdf"/>
                                <pic:cNvPicPr/>
                              </pic:nvPicPr>
                              <ve:AlternateContent>
                                <ve:Choice xmlns:ma="http://schemas.microsoft.com/office/mac/drawingml/2008/main" Requires="ma">
                                  <pic:blipFill>
                                    <a:blip r:embed="rId8"/>
                                    <a:stretch>
                                      <a:fillRect/>
                                    </a:stretch>
                                  </pic:blipFill>
                                </ve:Choice>
                                <ve:Fallback>
                                  <pic:blipFill>
                                    <a:blip r:embed="rId9"/>
                                    <a:stretch>
                                      <a:fillRect/>
                                    </a:stretch>
                                  </pic:blipFill>
                                </ve:Fallback>
                              </ve:AlternateContent>
                              <pic:spPr>
                                <a:xfrm>
                                  <a:off x="0" y="0"/>
                                  <a:ext cx="6363970" cy="2094230"/>
                                </a:xfrm>
                                <a:prstGeom prst="rect">
                                  <a:avLst/>
                                </a:prstGeom>
                              </pic:spPr>
                            </pic:pic>
                          </a:graphicData>
                        </a:graphic>
                      </wp:inline>
                    </w:drawing>
                  </w:r>
                </w:p>
                <w:p w:rsidR="00B538AA" w:rsidRDefault="00B538AA" w:rsidP="00B538AA">
                  <w:pPr>
                    <w:rPr>
                      <w:b/>
                    </w:rPr>
                  </w:pPr>
                </w:p>
                <w:p w:rsidR="00B538AA" w:rsidRDefault="00B538AA" w:rsidP="00B538AA">
                  <w:r w:rsidRPr="009E6D62">
                    <w:rPr>
                      <w:b/>
                    </w:rPr>
                    <w:t xml:space="preserve">Figure </w:t>
                  </w:r>
                  <w:r>
                    <w:rPr>
                      <w:b/>
                    </w:rPr>
                    <w:t>S3</w:t>
                  </w:r>
                  <w:r w:rsidRPr="009E6D62">
                    <w:rPr>
                      <w:b/>
                    </w:rPr>
                    <w:t>:</w:t>
                  </w:r>
                  <w:r w:rsidRPr="00F90CBE">
                    <w:rPr>
                      <w:b/>
                    </w:rPr>
                    <w:t xml:space="preserve"> FACS of the</w:t>
                  </w:r>
                  <w:r>
                    <w:rPr>
                      <w:b/>
                    </w:rPr>
                    <w:t xml:space="preserve"> </w:t>
                  </w:r>
                  <w:r w:rsidRPr="002F0E7D">
                    <w:rPr>
                      <w:b/>
                    </w:rPr>
                    <w:t>human SSC NSCLC xenograft</w:t>
                  </w:r>
                  <w:r>
                    <w:rPr>
                      <w:b/>
                    </w:rPr>
                    <w:t xml:space="preserve"> obtained from a second animal</w:t>
                  </w:r>
                  <w:r w:rsidRPr="002F0E7D">
                    <w:t xml:space="preserve">.  </w:t>
                  </w:r>
                  <w:r>
                    <w:t xml:space="preserve">(A) Live cells designated as </w:t>
                  </w:r>
                  <w:r w:rsidRPr="002F0E7D">
                    <w:t>propidium iodide negative</w:t>
                  </w:r>
                  <w:r>
                    <w:t xml:space="preserve"> </w:t>
                  </w:r>
                  <w:r w:rsidRPr="002F0E7D">
                    <w:t>display</w:t>
                  </w:r>
                  <w:r>
                    <w:t>ed</w:t>
                  </w:r>
                  <w:r w:rsidRPr="002F0E7D">
                    <w:t xml:space="preserve"> distinct populations of either mouse CD45/MHC I </w:t>
                  </w:r>
                  <w:r>
                    <w:t>or</w:t>
                  </w:r>
                  <w:r w:rsidRPr="002F0E7D">
                    <w:t xml:space="preserve"> human EpCAM</w:t>
                  </w:r>
                  <w:r>
                    <w:t xml:space="preserve"> expression. (B) Isolation of CD133+ cells from human CD133- cells and mouse positive cells. (C) Reanalysis of cell populations in panel B shows that the C133+ cells (red) are 0.8% of the EpCAM+ population.</w:t>
                  </w:r>
                </w:p>
              </w:txbxContent>
            </v:textbox>
            <w10:wrap type="tight"/>
          </v:shape>
        </w:pict>
      </w:r>
      <w:r w:rsidR="005348D6">
        <w:rPr>
          <w:rFonts w:cs="Arial"/>
          <w:b/>
          <w:noProof/>
          <w:szCs w:val="22"/>
        </w:rPr>
        <w:pict>
          <v:shape id="Text Box 28" o:spid="_x0000_s1034" type="#_x0000_t202" style="position:absolute;margin-left:138.35pt;margin-top:-24.95pt;width:236.5pt;height:351.9pt;z-index:251668480;visibility:visible;mso-wrap-edited:f;mso-position-horizontal:absolute;mso-position-vertical:absolut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" filled="f" stroked="f">
            <v:textbox style="mso-next-textbox:#Text Box 28" inset=",7.2pt,,7.2pt">
              <w:txbxContent>
                <w:p w:rsidR="00AF072A" w:rsidRPr="00A1781E" w:rsidRDefault="00AF072A" w:rsidP="00BF3285">
                  <w:r w:rsidRPr="00A1781E">
                    <w:rPr>
                      <w:noProof/>
                    </w:rPr>
                    <w:drawing>
                      <wp:inline distT="0" distB="0" distL="0" distR="0">
                        <wp:extent cx="2820670" cy="3190875"/>
                        <wp:effectExtent l="25400" t="0" r="0" b="0"/>
                        <wp:docPr id="19" name="Picture 25" descr="CD133_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33_Expression.jpg"/>
                                <pic:cNvPicPr/>
                              </pic:nvPicPr>
                              <pic:blipFill>
                                <a:blip r:embed="rId10"/>
                                <a:stretch>
                                  <a:fillRect/>
                                </a:stretch>
                              </pic:blipFill>
                              <pic:spPr>
                                <a:xfrm>
                                  <a:off x="0" y="0"/>
                                  <a:ext cx="2820670" cy="3190875"/>
                                </a:xfrm>
                                <a:prstGeom prst="rect">
                                  <a:avLst/>
                                </a:prstGeom>
                              </pic:spPr>
                            </pic:pic>
                          </a:graphicData>
                        </a:graphic>
                      </wp:inline>
                    </w:drawing>
                  </w:r>
                </w:p>
                <w:p w:rsidR="00AF072A" w:rsidRDefault="00AF072A" w:rsidP="00BF3285">
                  <w:pPr>
                    <w:rPr>
                      <w:b/>
                    </w:rPr>
                  </w:pPr>
                </w:p>
                <w:p w:rsidR="00AF072A" w:rsidRPr="00212468" w:rsidRDefault="00AF072A" w:rsidP="00BF3285">
                  <w:r>
                    <w:rPr>
                      <w:b/>
                    </w:rPr>
                    <w:t xml:space="preserve">Figure </w:t>
                  </w:r>
                  <w:r w:rsidR="002C1979">
                    <w:rPr>
                      <w:b/>
                    </w:rPr>
                    <w:t>S</w:t>
                  </w:r>
                  <w:r>
                    <w:rPr>
                      <w:b/>
                    </w:rPr>
                    <w:t xml:space="preserve">2: </w:t>
                  </w:r>
                  <w:r w:rsidRPr="00A1781E">
                    <w:rPr>
                      <w:b/>
                    </w:rPr>
                    <w:t>CD133 (PROM1) isoform expression levels determined from RNA-seq experiments.</w:t>
                  </w:r>
                  <w:r w:rsidRPr="00A1781E">
                    <w:t xml:space="preserve"> Expression of all three CD133 isoforms was observed in the CD133+ subpopulation and undetected in the CD133- subpopulation.</w:t>
                  </w:r>
                  <w:r w:rsidRPr="00212468">
                    <w:t xml:space="preserve"> </w:t>
                  </w:r>
                </w:p>
              </w:txbxContent>
            </v:textbox>
            <w10:wrap type="tight"/>
          </v:shape>
        </w:pict>
      </w:r>
    </w:p>
    <w:p w:rsidR="00B969D5" w:rsidRDefault="00B969D5" w:rsidP="00BF3285">
      <w:pPr>
        <w:spacing w:after="120" w:line="360" w:lineRule="auto"/>
        <w:rPr>
          <w:rFonts w:cs="Arial"/>
          <w:b/>
          <w:szCs w:val="22"/>
        </w:rPr>
      </w:pPr>
    </w:p>
    <w:p w:rsidR="00BF3285" w:rsidRPr="00E01C01" w:rsidRDefault="00BF3285" w:rsidP="00BF3285">
      <w:pPr>
        <w:spacing w:after="120" w:line="360" w:lineRule="auto"/>
        <w:rPr>
          <w:rFonts w:cs="Arial"/>
          <w:b/>
          <w:szCs w:val="22"/>
        </w:rPr>
      </w:pPr>
    </w:p>
    <w:p w:rsidR="00BF3285" w:rsidRDefault="00BF3285" w:rsidP="00BF3285">
      <w:pPr>
        <w:rPr>
          <w:rFonts w:cs="Arial"/>
          <w:szCs w:val="22"/>
        </w:rPr>
      </w:pPr>
      <w:r>
        <w:rPr>
          <w:rFonts w:cs="Arial"/>
          <w:szCs w:val="22"/>
        </w:rPr>
        <w:br w:type="page"/>
      </w:r>
      <w:r w:rsidR="005348D6">
        <w:rPr>
          <w:rFonts w:cs="Arial"/>
          <w:noProof/>
          <w:szCs w:val="22"/>
        </w:rPr>
        <w:pict>
          <v:shape id="_x0000_s1061" type="#_x0000_t202" style="position:absolute;margin-left:3in;margin-top:306pt;width:126pt;height:54pt;z-index:251679744;mso-wrap-edited:f;mso-position-horizontal:absolute;mso-position-vertical:absolute" wrapcoords="0 0 21600 0 21600 21600 0 21600 0 0" filled="f" stroked="f">
            <v:fill o:detectmouseclick="t"/>
            <v:textbox inset=",7.2pt,,7.2pt">
              <w:txbxContent>
                <w:p w:rsidR="00AF072A" w:rsidRPr="00AF072A" w:rsidRDefault="00AF072A">
                  <w:pPr>
                    <w:rPr>
                      <w:b/>
                      <w:sz w:val="56"/>
                    </w:rPr>
                  </w:pPr>
                  <w:r w:rsidRPr="00AF072A">
                    <w:rPr>
                      <w:b/>
                      <w:sz w:val="56"/>
                    </w:rPr>
                    <w:t>CD133+</w:t>
                  </w:r>
                </w:p>
              </w:txbxContent>
            </v:textbox>
            <w10:wrap type="tight"/>
          </v:shape>
        </w:pict>
      </w:r>
      <w:r w:rsidR="00AF072A">
        <w:rPr>
          <w:rFonts w:cs="Arial"/>
          <w:noProof/>
          <w:szCs w:val="22"/>
        </w:rPr>
        <w:drawing>
          <wp:anchor distT="0" distB="0" distL="114300" distR="114300" simplePos="0" relativeHeight="251678720" behindDoc="0" locked="0" layoutInCell="1" allowOverlap="1">
            <wp:simplePos x="0" y="0"/>
            <wp:positionH relativeFrom="column">
              <wp:posOffset>-431800</wp:posOffset>
            </wp:positionH>
            <wp:positionV relativeFrom="paragraph">
              <wp:posOffset>457200</wp:posOffset>
            </wp:positionV>
            <wp:extent cx="7763510" cy="7772400"/>
            <wp:effectExtent l="25400" t="0" r="8890" b="0"/>
            <wp:wrapTopAndBottom/>
            <wp:docPr id="271" name="P 4" descr="C:\Users\hyj004\Desktop\Tumor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j004\Desktop\Tumor_19.png"/>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val="0"/>
                        </a:ext>
                      </a:extLst>
                    </a:blip>
                    <a:srcRect/>
                    <a:stretch>
                      <a:fillRect/>
                    </a:stretch>
                  </pic:blipFill>
                  <pic:spPr bwMode="auto">
                    <a:xfrm>
                      <a:off x="0" y="0"/>
                      <a:ext cx="7763510" cy="7772400"/>
                    </a:xfrm>
                    <a:prstGeom prst="rect">
                      <a:avLst/>
                    </a:prstGeom>
                    <a:noFill/>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a:solidFill>
                            <a:srgbClr val="FFFFFF"/>
                          </a:solidFill>
                        </a14:hiddenFill>
                      </a:ext>
                    </a:extLst>
                  </pic:spPr>
                </pic:pic>
              </a:graphicData>
            </a:graphic>
          </wp:anchor>
        </w:drawing>
      </w:r>
    </w:p>
    <w:p w:rsidR="00BF3285" w:rsidRPr="00BA5B54" w:rsidRDefault="00BF3285" w:rsidP="00BF3285">
      <w:pPr>
        <w:spacing w:after="120" w:line="360" w:lineRule="auto"/>
        <w:rPr>
          <w:rFonts w:cs="Arial"/>
          <w:szCs w:val="22"/>
        </w:rPr>
      </w:pPr>
    </w:p>
    <w:p w:rsidR="00BF3285" w:rsidRPr="00E01C01" w:rsidRDefault="00BF3285" w:rsidP="00BF3285">
      <w:pPr>
        <w:spacing w:after="120" w:line="360" w:lineRule="auto"/>
        <w:rPr>
          <w:rFonts w:cs="Arial"/>
          <w:b/>
          <w:szCs w:val="22"/>
        </w:rPr>
      </w:pPr>
    </w:p>
    <w:p w:rsidR="00B65DE5" w:rsidRDefault="00B65DE5" w:rsidP="00BF3285">
      <w:pPr>
        <w:rPr>
          <w:rFonts w:cs="Arial"/>
          <w:b/>
          <w:szCs w:val="22"/>
        </w:rPr>
      </w:pPr>
    </w:p>
    <w:p w:rsidR="00AF072A" w:rsidRDefault="005348D6" w:rsidP="00BF3285">
      <w:pPr>
        <w:rPr>
          <w:rFonts w:cs="Arial"/>
          <w:b/>
          <w:szCs w:val="22"/>
        </w:rPr>
      </w:pPr>
      <w:r>
        <w:rPr>
          <w:rFonts w:cs="Arial"/>
          <w:b/>
          <w:noProof/>
          <w:szCs w:val="22"/>
        </w:rPr>
        <w:pict>
          <v:shape id="_x0000_s1067" type="#_x0000_t202" style="position:absolute;margin-left:3in;margin-top:297.35pt;width:126pt;height:54pt;z-index:251681792;mso-wrap-edited:f;mso-position-horizontal:absolute;mso-position-vertical:absolute" wrapcoords="0 0 21600 0 21600 21600 0 21600 0 0" filled="f" stroked="f">
            <v:fill o:detectmouseclick="t"/>
            <v:textbox inset=",7.2pt,,7.2pt">
              <w:txbxContent>
                <w:p w:rsidR="00AF072A" w:rsidRPr="00FB7042" w:rsidRDefault="00AF072A" w:rsidP="00AF072A">
                  <w:pPr>
                    <w:rPr>
                      <w:b/>
                      <w:sz w:val="56"/>
                    </w:rPr>
                  </w:pPr>
                  <w:r w:rsidRPr="00FB7042">
                    <w:rPr>
                      <w:b/>
                      <w:sz w:val="56"/>
                    </w:rPr>
                    <w:t>CD133-</w:t>
                  </w:r>
                </w:p>
              </w:txbxContent>
            </v:textbox>
            <w10:wrap type="tight"/>
          </v:shape>
        </w:pict>
      </w:r>
      <w:r w:rsidR="00AF072A">
        <w:rPr>
          <w:rFonts w:cs="Arial"/>
          <w:b/>
          <w:noProof/>
          <w:szCs w:val="22"/>
        </w:rPr>
        <w:drawing>
          <wp:anchor distT="0" distB="0" distL="114300" distR="114300" simplePos="0" relativeHeight="251675648" behindDoc="0" locked="0" layoutInCell="1" allowOverlap="1">
            <wp:simplePos x="0" y="0"/>
            <wp:positionH relativeFrom="column">
              <wp:posOffset>-431800</wp:posOffset>
            </wp:positionH>
            <wp:positionV relativeFrom="paragraph">
              <wp:posOffset>228600</wp:posOffset>
            </wp:positionV>
            <wp:extent cx="7772400" cy="7772400"/>
            <wp:effectExtent l="25400" t="0" r="0" b="0"/>
            <wp:wrapTopAndBottom/>
            <wp:docPr id="272" name="P 5" descr="C:\Users\hyj004\Desktop\NTumor_19.png"/>
            <wp:cNvGraphicFramePr/>
            <a:graphic xmlns:a="http://schemas.openxmlformats.org/drawingml/2006/main">
              <a:graphicData uri="http://schemas.openxmlformats.org/drawingml/2006/picture">
                <pic:pic xmlns:pic="http://schemas.openxmlformats.org/drawingml/2006/picture">
                  <pic:nvPicPr>
                    <pic:cNvPr id="0" name="Picture 3" descr="C:\Users\hyj004\Desktop\NTumor_19.png"/>
                    <pic:cNvPicPr>
                      <a:picLocks noChangeAspect="1" noChangeArrowheads="1"/>
                    </pic:cNvPicPr>
                  </pic:nvPicPr>
                  <pic:blipFill>
                    <a:blip r:embed="rId12">
                      <a:extLst>
                        <a:ext uri="{28A0092B-C50C-407E-A947-70E740481C1C}">
                          <a14:useLocalDpi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val="0"/>
                        </a:ext>
                      </a:extLst>
                    </a:blip>
                    <a:srcRect/>
                    <a:stretch>
                      <a:fillRect/>
                    </a:stretch>
                  </pic:blipFill>
                  <pic:spPr bwMode="auto">
                    <a:xfrm>
                      <a:off x="0" y="0"/>
                      <a:ext cx="7772400" cy="7772400"/>
                    </a:xfrm>
                    <a:prstGeom prst="rect">
                      <a:avLst/>
                    </a:prstGeom>
                    <a:noFill/>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a:solidFill>
                            <a:srgbClr val="FFFFFF"/>
                          </a:solidFill>
                        </a14:hiddenFill>
                      </a:ext>
                    </a:extLst>
                  </pic:spPr>
                </pic:pic>
              </a:graphicData>
            </a:graphic>
          </wp:anchor>
        </w:drawing>
      </w:r>
    </w:p>
    <w:p w:rsidR="00AF072A" w:rsidRDefault="00AF072A" w:rsidP="00BF3285">
      <w:pPr>
        <w:rPr>
          <w:rFonts w:cs="Arial"/>
          <w:b/>
          <w:szCs w:val="22"/>
        </w:rPr>
      </w:pPr>
    </w:p>
    <w:p w:rsidR="00AF072A" w:rsidRDefault="00AF072A" w:rsidP="00BF3285">
      <w:pPr>
        <w:rPr>
          <w:rFonts w:cs="Arial"/>
          <w:b/>
          <w:szCs w:val="22"/>
        </w:rPr>
      </w:pPr>
    </w:p>
    <w:p w:rsidR="00AF072A" w:rsidRDefault="00AF072A" w:rsidP="00BF3285">
      <w:pPr>
        <w:rPr>
          <w:rFonts w:cs="Arial"/>
          <w:b/>
          <w:szCs w:val="22"/>
        </w:rPr>
      </w:pPr>
    </w:p>
    <w:p w:rsidR="00B65DE5" w:rsidRDefault="00B65DE5" w:rsidP="00BF3285">
      <w:pPr>
        <w:rPr>
          <w:rFonts w:cs="Arial"/>
          <w:b/>
          <w:szCs w:val="22"/>
        </w:rPr>
      </w:pPr>
    </w:p>
    <w:p w:rsidR="00B65DE5" w:rsidRDefault="00FB7042" w:rsidP="00BF3285">
      <w:pPr>
        <w:rPr>
          <w:rFonts w:cs="Arial"/>
          <w:b/>
          <w:szCs w:val="22"/>
        </w:rPr>
      </w:pPr>
      <w:r>
        <w:rPr>
          <w:rFonts w:cs="Arial"/>
          <w:b/>
          <w:noProof/>
          <w:szCs w:val="22"/>
        </w:rPr>
        <w:drawing>
          <wp:anchor distT="0" distB="0" distL="114300" distR="114300" simplePos="0" relativeHeight="251677696" behindDoc="0" locked="0" layoutInCell="1" allowOverlap="1">
            <wp:simplePos x="0" y="0"/>
            <wp:positionH relativeFrom="column">
              <wp:posOffset>-431800</wp:posOffset>
            </wp:positionH>
            <wp:positionV relativeFrom="paragraph">
              <wp:posOffset>-9032875</wp:posOffset>
            </wp:positionV>
            <wp:extent cx="7767320" cy="7772400"/>
            <wp:effectExtent l="25400" t="0" r="5080" b="0"/>
            <wp:wrapTopAndBottom/>
            <wp:docPr id="273" name="P 2" descr="C:\Users\hyj004\Application Data\SSH\temp\Germ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j004\Application Data\SSH\temp\Germ_19.png"/>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val="0"/>
                        </a:ext>
                      </a:extLst>
                    </a:blip>
                    <a:srcRect/>
                    <a:stretch>
                      <a:fillRect/>
                    </a:stretch>
                  </pic:blipFill>
                  <pic:spPr bwMode="auto">
                    <a:xfrm>
                      <a:off x="0" y="0"/>
                      <a:ext cx="7767320" cy="7772400"/>
                    </a:xfrm>
                    <a:prstGeom prst="rect">
                      <a:avLst/>
                    </a:prstGeom>
                    <a:noFill/>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a="http://schemas.openxmlformats.org/drawingml/2006/main" xmlns:r="http://schemas.openxmlformats.org/officeDocument/2006/relationships" xmlns:p="http://schemas.openxmlformats.org/presentationml/2006/main" xmlns:mc="http://schemas.openxmlformats.org/markup-compatibility/2006" xmlns:mv="urn:schemas-microsoft-com:mac:vml" xmlns="" xmlns:a14="http://schemas.microsoft.com/office/drawing/2010/main" xmlns:lc="http://schemas.openxmlformats.org/drawingml/2006/lockedCanvas">
                          <a:solidFill>
                            <a:srgbClr val="FFFFFF"/>
                          </a:solidFill>
                        </a14:hiddenFill>
                      </a:ext>
                    </a:extLst>
                  </pic:spPr>
                </pic:pic>
              </a:graphicData>
            </a:graphic>
          </wp:anchor>
        </w:drawing>
      </w:r>
    </w:p>
    <w:p w:rsidR="00B65DE5" w:rsidRDefault="00B65DE5" w:rsidP="00BF3285">
      <w:pPr>
        <w:rPr>
          <w:rFonts w:cs="Arial"/>
          <w:b/>
          <w:szCs w:val="22"/>
        </w:rPr>
      </w:pPr>
    </w:p>
    <w:p w:rsidR="00B65DE5" w:rsidRDefault="005348D6" w:rsidP="00BF3285">
      <w:pPr>
        <w:rPr>
          <w:rFonts w:cs="Arial"/>
          <w:b/>
          <w:szCs w:val="22"/>
        </w:rPr>
      </w:pPr>
      <w:r>
        <w:rPr>
          <w:rFonts w:cs="Arial"/>
          <w:b/>
          <w:noProof/>
          <w:szCs w:val="22"/>
        </w:rPr>
        <w:pict>
          <v:shape id="_x0000_s1064" type="#_x0000_t202" style="position:absolute;margin-left:3in;margin-top:-365.35pt;width:108pt;height:54pt;z-index:251680768;mso-wrap-edited:f;mso-position-horizontal:absolute;mso-position-vertical:absolute" wrapcoords="0 0 21600 0 21600 21600 0 21600 0 0" filled="f" stroked="f">
            <v:fill o:detectmouseclick="t"/>
            <v:textbox style="mso-next-textbox:#_x0000_s1064" inset=",7.2pt,,7.2pt">
              <w:txbxContent>
                <w:p w:rsidR="00AF072A" w:rsidRPr="00AF072A" w:rsidRDefault="00AF072A" w:rsidP="00AF072A">
                  <w:pPr>
                    <w:rPr>
                      <w:b/>
                      <w:sz w:val="56"/>
                    </w:rPr>
                  </w:pPr>
                  <w:r>
                    <w:rPr>
                      <w:b/>
                      <w:sz w:val="56"/>
                    </w:rPr>
                    <w:t>gDNA</w:t>
                  </w:r>
                </w:p>
              </w:txbxContent>
            </v:textbox>
            <w10:wrap type="tight"/>
          </v:shape>
        </w:pict>
      </w: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AF072A" w:rsidRPr="00A1781E" w:rsidRDefault="00AF072A" w:rsidP="00AF072A">
      <w:pPr>
        <w:rPr>
          <w:b/>
        </w:rPr>
      </w:pPr>
      <w:r>
        <w:rPr>
          <w:b/>
        </w:rPr>
        <w:t xml:space="preserve">Figure </w:t>
      </w:r>
      <w:r w:rsidR="002C1979">
        <w:rPr>
          <w:b/>
        </w:rPr>
        <w:t>S</w:t>
      </w:r>
      <w:r>
        <w:rPr>
          <w:b/>
        </w:rPr>
        <w:t>4:</w:t>
      </w:r>
      <w:r w:rsidRPr="00A1781E">
        <w:rPr>
          <w:b/>
        </w:rPr>
        <w:t xml:space="preserve"> Chromosome structure analysis by SNP Array. </w:t>
      </w:r>
      <w:r>
        <w:t>W</w:t>
      </w:r>
      <w:r w:rsidRPr="00A1781E">
        <w:t xml:space="preserve">e hybridized PBMC (gDNA), </w:t>
      </w:r>
      <w:r>
        <w:t>CD133-</w:t>
      </w:r>
      <w:r w:rsidRPr="00A1781E">
        <w:t xml:space="preserve"> and </w:t>
      </w:r>
      <w:r>
        <w:t xml:space="preserve">CD133+ </w:t>
      </w:r>
      <w:r w:rsidRPr="00A1781E">
        <w:t xml:space="preserve">genomic DNA to Illumina Human1M-Duo BeadChips. </w:t>
      </w:r>
      <w:r w:rsidRPr="00EF7241">
        <w:rPr>
          <w:rFonts w:cs="Arial"/>
          <w:color w:val="292526"/>
          <w:szCs w:val="22"/>
        </w:rPr>
        <w:t>Chromosome ideograms are shown around the outer ring and are oriented pter–qter in a clockwise direction with centromeres indicated in red. Other tracks contain somatic alterations calculated with LogR-ratio (</w:t>
      </w:r>
      <w:r w:rsidRPr="00EF7241">
        <w:rPr>
          <w:rFonts w:cs="Arial"/>
          <w:szCs w:val="22"/>
        </w:rPr>
        <w:t>outermost plot, blue</w:t>
      </w:r>
      <w:r w:rsidRPr="00EF7241">
        <w:rPr>
          <w:rFonts w:cs="Arial"/>
          <w:color w:val="292526"/>
          <w:szCs w:val="22"/>
        </w:rPr>
        <w:t xml:space="preserve">) or calculated with </w:t>
      </w:r>
      <w:r w:rsidRPr="00EF7241">
        <w:rPr>
          <w:rFonts w:cs="Arial"/>
          <w:szCs w:val="22"/>
        </w:rPr>
        <w:t>B-allele frequency (innermost plot, red).</w:t>
      </w:r>
      <w:r w:rsidRPr="00E43C5F">
        <w:rPr>
          <w:rFonts w:cs="Times New Roman"/>
        </w:rPr>
        <w:t xml:space="preserve"> </w:t>
      </w:r>
      <w:r w:rsidRPr="00A1781E">
        <w:t xml:space="preserve">We found that approximately 50% of the tumor cell genomes had undergone copy number changes relative to the </w:t>
      </w:r>
      <w:r>
        <w:t>germline</w:t>
      </w:r>
      <w:r w:rsidRPr="00A1781E">
        <w:t xml:space="preserve"> genome</w:t>
      </w:r>
      <w:r>
        <w:t>. W</w:t>
      </w:r>
      <w:r w:rsidRPr="00A1781E">
        <w:t xml:space="preserve">ithin the error range of the array the </w:t>
      </w:r>
      <w:r>
        <w:t>CD133-</w:t>
      </w:r>
      <w:r w:rsidRPr="00A1781E">
        <w:t xml:space="preserve"> and </w:t>
      </w:r>
      <w:r>
        <w:t>CD133+</w:t>
      </w:r>
      <w:r w:rsidRPr="00A1781E">
        <w:t xml:space="preserve"> genomes </w:t>
      </w:r>
      <w:r>
        <w:t>a</w:t>
      </w:r>
      <w:r w:rsidRPr="00A1781E">
        <w:t>re identical</w:t>
      </w:r>
      <w:r>
        <w:t xml:space="preserve"> (potential regions of difference are indicated in green)</w:t>
      </w:r>
      <w:r w:rsidRPr="00A1781E">
        <w:t xml:space="preserve">. </w:t>
      </w: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65DE5" w:rsidRDefault="00B65DE5" w:rsidP="00BF3285">
      <w:pPr>
        <w:rPr>
          <w:rFonts w:cs="Arial"/>
          <w:b/>
          <w:szCs w:val="22"/>
        </w:rPr>
      </w:pPr>
    </w:p>
    <w:p w:rsidR="00BF3285" w:rsidRDefault="00BF3285" w:rsidP="00BF3285">
      <w:pPr>
        <w:rPr>
          <w:rFonts w:cs="Arial"/>
          <w:b/>
          <w:szCs w:val="22"/>
        </w:rPr>
      </w:pPr>
      <w:r>
        <w:rPr>
          <w:rFonts w:cs="Arial"/>
          <w:b/>
          <w:szCs w:val="22"/>
        </w:rPr>
        <w:br w:type="page"/>
      </w:r>
      <w:r w:rsidR="005348D6">
        <w:rPr>
          <w:rFonts w:cs="Arial"/>
          <w:b/>
          <w:noProof/>
          <w:szCs w:val="22"/>
        </w:rPr>
        <w:pict>
          <v:shape id="Text Box 16" o:spid="_x0000_s1036" type="#_x0000_t202" style="position:absolute;margin-left:10.5pt;margin-top:0;width:511.5pt;height:10in;z-index:251670528;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" filled="f" stroked="f">
            <v:textbox style="mso-next-textbox:#Text Box 16" inset=",7.2pt,,7.2pt">
              <w:txbxContent>
                <w:p w:rsidR="00AF072A" w:rsidRDefault="00AF072A" w:rsidP="00BF3285"/>
                <w:p w:rsidR="00AF072A" w:rsidRDefault="00AF072A" w:rsidP="00BF3285">
                  <w:r>
                    <w:rPr>
                      <w:noProof/>
                    </w:rPr>
                    <w:drawing>
                      <wp:inline distT="0" distB="0" distL="0" distR="0">
                        <wp:extent cx="6313170" cy="8006715"/>
                        <wp:effectExtent l="25400" t="0" r="11430" b="0"/>
                        <wp:docPr id="55" name="Picture 33" descr="signif-diff-express-isoforms-all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diff-express-isoforms-all_1.pdf"/>
                                <pic:cNvPicPr/>
                              </pic:nvPicPr>
                              <ve:AlternateContent xmlns:ma="http://schemas.microsoft.com/office/mac/drawingml/2008/main">
                                <ve:Choice Requires="ma">
                                  <pic:blipFill>
                                    <a:blip r:embed="rId14"/>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5"/>
                                    <a:stretch>
                                      <a:fillRect/>
                                    </a:stretch>
                                  </pic:blipFill>
                                </ve:Fallback>
                              </ve:AlternateContent>
                              <pic:spPr>
                                <a:xfrm>
                                  <a:off x="0" y="0"/>
                                  <a:ext cx="6313170" cy="8006715"/>
                                </a:xfrm>
                                <a:prstGeom prst="rect">
                                  <a:avLst/>
                                </a:prstGeom>
                              </pic:spPr>
                            </pic:pic>
                          </a:graphicData>
                        </a:graphic>
                      </wp:inline>
                    </w:drawing>
                  </w:r>
                </w:p>
                <w:p w:rsidR="00AF072A" w:rsidRPr="00942AB4" w:rsidRDefault="00AF072A" w:rsidP="00BF3285">
                  <w:r>
                    <w:rPr>
                      <w:b/>
                    </w:rPr>
                    <w:t xml:space="preserve">Figure </w:t>
                  </w:r>
                  <w:r w:rsidR="002C1979">
                    <w:rPr>
                      <w:b/>
                    </w:rPr>
                    <w:t>S</w:t>
                  </w:r>
                  <w:r>
                    <w:rPr>
                      <w:b/>
                    </w:rPr>
                    <w:t>5A: I</w:t>
                  </w:r>
                  <w:r w:rsidRPr="00250571">
                    <w:rPr>
                      <w:b/>
                    </w:rPr>
                    <w:t xml:space="preserve">soform expression </w:t>
                  </w:r>
                  <w:r>
                    <w:rPr>
                      <w:b/>
                    </w:rPr>
                    <w:t>levels</w:t>
                  </w:r>
                  <w:r w:rsidRPr="00250571">
                    <w:rPr>
                      <w:b/>
                    </w:rPr>
                    <w:t xml:space="preserve"> for </w:t>
                  </w:r>
                  <w:r>
                    <w:rPr>
                      <w:b/>
                    </w:rPr>
                    <w:t>CD Molecule, GPCR and ion channel</w:t>
                  </w:r>
                  <w:r w:rsidRPr="00250571">
                    <w:rPr>
                      <w:b/>
                    </w:rPr>
                    <w:t xml:space="preserve"> genes</w:t>
                  </w:r>
                  <w:r w:rsidRPr="00AA7B17">
                    <w:t xml:space="preserve"> </w:t>
                  </w:r>
                  <w:r w:rsidRPr="00AA7B17">
                    <w:rPr>
                      <w:b/>
                    </w:rPr>
                    <w:t>in CD133</w:t>
                  </w:r>
                  <w:r>
                    <w:rPr>
                      <w:b/>
                    </w:rPr>
                    <w:t>+</w:t>
                  </w:r>
                  <w:r w:rsidRPr="00AA7B17">
                    <w:rPr>
                      <w:b/>
                    </w:rPr>
                    <w:t xml:space="preserve"> and CD133</w:t>
                  </w:r>
                  <w:r>
                    <w:rPr>
                      <w:b/>
                    </w:rPr>
                    <w:t>-</w:t>
                  </w:r>
                  <w:r w:rsidRPr="00AA7B17">
                    <w:rPr>
                      <w:b/>
                    </w:rPr>
                    <w:t xml:space="preserve"> subpopulations</w:t>
                  </w:r>
                  <w:r>
                    <w:rPr>
                      <w:b/>
                    </w:rPr>
                    <w:t xml:space="preserve"> – shown alphabetically. </w:t>
                  </w:r>
                  <w:r>
                    <w:t>Isoforms significantly differentially expressed greater than four-fold are highlighted in yellow. Error bars are the 95% confidence intervals for the mathematical expression level estimates.</w:t>
                  </w:r>
                  <w:r w:rsidRPr="00BE1E5E">
                    <w:rPr>
                      <w:rFonts w:cs="Helvetica"/>
                      <w:szCs w:val="26"/>
                    </w:rPr>
                    <w:t xml:space="preserve"> </w:t>
                  </w:r>
                  <w:r>
                    <w:rPr>
                      <w:rFonts w:cs="Helvetica"/>
                      <w:szCs w:val="26"/>
                    </w:rPr>
                    <w:t>Here we use HGNC-approved gene symbols.</w:t>
                  </w:r>
                </w:p>
                <w:p w:rsidR="00AF072A" w:rsidRPr="00942AB4" w:rsidRDefault="00AF072A" w:rsidP="00BF3285"/>
                <w:p w:rsidR="00AF072A" w:rsidRDefault="00AF072A" w:rsidP="00BF3285"/>
              </w:txbxContent>
            </v:textbox>
            <w10:wrap type="tight"/>
          </v:shape>
        </w:pict>
      </w: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5348D6" w:rsidP="00BF3285">
      <w:pPr>
        <w:spacing w:after="120" w:line="360" w:lineRule="auto"/>
        <w:rPr>
          <w:rFonts w:cs="Arial"/>
          <w:b/>
          <w:szCs w:val="22"/>
        </w:rPr>
      </w:pPr>
      <w:r>
        <w:rPr>
          <w:rFonts w:cs="Arial"/>
          <w:b/>
          <w:noProof/>
          <w:szCs w:val="22"/>
        </w:rPr>
        <w:pict>
          <v:shape id="_x0000_s1031" type="#_x0000_t202" style="position:absolute;margin-left:9.1pt;margin-top:-499.45pt;width:511.5pt;height:713.6pt;z-index:251665408;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" filled="f" stroked="f">
            <v:textbox style="mso-next-textbox:#_x0000_s1031" inset=",7.2pt,,7.2pt">
              <w:txbxContent>
                <w:p w:rsidR="00AF072A" w:rsidRDefault="00AF072A" w:rsidP="00BF3285">
                  <w:r>
                    <w:rPr>
                      <w:noProof/>
                    </w:rPr>
                    <w:drawing>
                      <wp:inline distT="0" distB="0" distL="0" distR="0">
                        <wp:extent cx="6313170" cy="7992110"/>
                        <wp:effectExtent l="25400" t="0" r="11430" b="0"/>
                        <wp:docPr id="35" name="Picture 34" descr="signif-diff-express-isoforms-all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diff-express-isoforms-all_2.pdf"/>
                                <pic:cNvPicPr/>
                              </pic:nvPicPr>
                              <ve:AlternateContent xmlns:ma="http://schemas.microsoft.com/office/mac/drawingml/2008/main">
                                <ve:Choice Requires="ma">
                                  <pic:blipFill>
                                    <a:blip r:embed="rId16"/>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7"/>
                                    <a:stretch>
                                      <a:fillRect/>
                                    </a:stretch>
                                  </pic:blipFill>
                                </ve:Fallback>
                              </ve:AlternateContent>
                              <pic:spPr>
                                <a:xfrm>
                                  <a:off x="0" y="0"/>
                                  <a:ext cx="6313170" cy="7992110"/>
                                </a:xfrm>
                                <a:prstGeom prst="rect">
                                  <a:avLst/>
                                </a:prstGeom>
                              </pic:spPr>
                            </pic:pic>
                          </a:graphicData>
                        </a:graphic>
                      </wp:inline>
                    </w:drawing>
                  </w:r>
                </w:p>
                <w:p w:rsidR="00AF072A" w:rsidRPr="00942AB4" w:rsidRDefault="00AF072A" w:rsidP="00BF3285">
                  <w:r>
                    <w:rPr>
                      <w:b/>
                    </w:rPr>
                    <w:t xml:space="preserve">Figure </w:t>
                  </w:r>
                  <w:r w:rsidR="002C1979">
                    <w:rPr>
                      <w:b/>
                    </w:rPr>
                    <w:t>S</w:t>
                  </w:r>
                  <w:r>
                    <w:rPr>
                      <w:b/>
                    </w:rPr>
                    <w:t>5B: I</w:t>
                  </w:r>
                  <w:r w:rsidRPr="00250571">
                    <w:rPr>
                      <w:b/>
                    </w:rPr>
                    <w:t xml:space="preserve">soform expression </w:t>
                  </w:r>
                  <w:r>
                    <w:rPr>
                      <w:b/>
                    </w:rPr>
                    <w:t>levels</w:t>
                  </w:r>
                  <w:r w:rsidRPr="00250571">
                    <w:rPr>
                      <w:b/>
                    </w:rPr>
                    <w:t xml:space="preserve"> for </w:t>
                  </w:r>
                  <w:r>
                    <w:rPr>
                      <w:b/>
                    </w:rPr>
                    <w:t>CD Molecule, GPCR and ion channel</w:t>
                  </w:r>
                  <w:r w:rsidRPr="00250571">
                    <w:rPr>
                      <w:b/>
                    </w:rPr>
                    <w:t xml:space="preserve"> genes</w:t>
                  </w:r>
                  <w:r w:rsidRPr="00AA7B17">
                    <w:t xml:space="preserve"> </w:t>
                  </w:r>
                  <w:r w:rsidRPr="00AA7B17">
                    <w:rPr>
                      <w:b/>
                    </w:rPr>
                    <w:t>in CD133</w:t>
                  </w:r>
                  <w:r>
                    <w:rPr>
                      <w:b/>
                    </w:rPr>
                    <w:t>+</w:t>
                  </w:r>
                  <w:r w:rsidRPr="00AA7B17">
                    <w:rPr>
                      <w:b/>
                    </w:rPr>
                    <w:t xml:space="preserve"> and CD133</w:t>
                  </w:r>
                  <w:r>
                    <w:rPr>
                      <w:b/>
                    </w:rPr>
                    <w:t>-</w:t>
                  </w:r>
                  <w:r w:rsidRPr="00AA7B17">
                    <w:rPr>
                      <w:b/>
                    </w:rPr>
                    <w:t xml:space="preserve"> subpopulations</w:t>
                  </w:r>
                  <w:r>
                    <w:rPr>
                      <w:b/>
                    </w:rPr>
                    <w:t xml:space="preserve"> – shown alphabetically. </w:t>
                  </w:r>
                  <w:r>
                    <w:t>Isoforms significantly differentially expressed greater than four-fold are highlighted in yellow. Error bars are the 95% confidence intervals for the mathematical expression level estimates.</w:t>
                  </w:r>
                  <w:r w:rsidRPr="00BE1E5E">
                    <w:rPr>
                      <w:rFonts w:cs="Helvetica"/>
                      <w:szCs w:val="26"/>
                    </w:rPr>
                    <w:t xml:space="preserve"> </w:t>
                  </w:r>
                  <w:r>
                    <w:rPr>
                      <w:rFonts w:cs="Helvetica"/>
                      <w:szCs w:val="26"/>
                    </w:rPr>
                    <w:t>Here we use HGNC-approved gene symbols.</w:t>
                  </w:r>
                </w:p>
                <w:p w:rsidR="00AF072A" w:rsidRPr="00942AB4" w:rsidRDefault="00AF072A" w:rsidP="00BF3285"/>
                <w:p w:rsidR="00AF072A" w:rsidRDefault="00AF072A" w:rsidP="00BF3285"/>
              </w:txbxContent>
            </v:textbox>
            <w10:wrap type="tight"/>
          </v:shape>
        </w:pict>
      </w: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5348D6" w:rsidP="00BF3285">
      <w:pPr>
        <w:spacing w:after="120" w:line="360" w:lineRule="auto"/>
        <w:rPr>
          <w:rFonts w:cs="Arial"/>
          <w:b/>
          <w:szCs w:val="22"/>
        </w:rPr>
      </w:pPr>
      <w:r>
        <w:rPr>
          <w:rFonts w:cs="Arial"/>
          <w:b/>
          <w:noProof/>
          <w:szCs w:val="22"/>
        </w:rPr>
        <w:pict>
          <v:shape id="Text Box 23" o:spid="_x0000_s1030" type="#_x0000_t202" style="position:absolute;margin-left:19.75pt;margin-top:0;width:491.75pt;height:684pt;z-index:251664384;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" filled="f" stroked="f">
            <v:textbox style="mso-next-textbox:#Text Box 23" inset=",7.2pt,,7.2pt">
              <w:txbxContent>
                <w:p w:rsidR="00AF072A" w:rsidRDefault="00AF072A" w:rsidP="00BF3285">
                  <w:r>
                    <w:rPr>
                      <w:noProof/>
                    </w:rPr>
                    <w:drawing>
                      <wp:inline distT="0" distB="0" distL="0" distR="0">
                        <wp:extent cx="6062345" cy="7674610"/>
                        <wp:effectExtent l="25400" t="0" r="8255" b="0"/>
                        <wp:docPr id="5" name="Picture 4" descr="signif-diff-express-isoforms-SAB-Apoptosi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f-diff-express-isoforms-SAB-Apoptosis.pdf"/>
                                <pic:cNvPicPr/>
                              </pic:nvPicPr>
                              <ve:AlternateContent xmlns:ma="http://schemas.microsoft.com/office/mac/drawingml/2008/main">
                                <ve:Choice Requires="ma">
                                  <pic:blipFill>
                                    <a:blip r:embed="rId18"/>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19"/>
                                    <a:stretch>
                                      <a:fillRect/>
                                    </a:stretch>
                                  </pic:blipFill>
                                </ve:Fallback>
                              </ve:AlternateContent>
                              <pic:spPr>
                                <a:xfrm>
                                  <a:off x="0" y="0"/>
                                  <a:ext cx="6062345" cy="7674610"/>
                                </a:xfrm>
                                <a:prstGeom prst="rect">
                                  <a:avLst/>
                                </a:prstGeom>
                              </pic:spPr>
                            </pic:pic>
                          </a:graphicData>
                        </a:graphic>
                      </wp:inline>
                    </w:drawing>
                  </w:r>
                </w:p>
                <w:p w:rsidR="00AF072A" w:rsidRPr="00942AB4" w:rsidRDefault="00AF072A" w:rsidP="00BF3285">
                  <w:r>
                    <w:rPr>
                      <w:b/>
                    </w:rPr>
                    <w:t xml:space="preserve">Figure </w:t>
                  </w:r>
                  <w:r w:rsidR="002C1979">
                    <w:rPr>
                      <w:b/>
                    </w:rPr>
                    <w:t>S</w:t>
                  </w:r>
                  <w:r>
                    <w:rPr>
                      <w:b/>
                    </w:rPr>
                    <w:t>6: I</w:t>
                  </w:r>
                  <w:r w:rsidRPr="00250571">
                    <w:rPr>
                      <w:b/>
                    </w:rPr>
                    <w:t xml:space="preserve">soform expression </w:t>
                  </w:r>
                  <w:r>
                    <w:rPr>
                      <w:b/>
                    </w:rPr>
                    <w:t>levels of</w:t>
                  </w:r>
                  <w:r w:rsidRPr="00250571">
                    <w:rPr>
                      <w:b/>
                    </w:rPr>
                    <w:t xml:space="preserve"> apoptosis-related genes</w:t>
                  </w:r>
                  <w:r>
                    <w:rPr>
                      <w:b/>
                    </w:rPr>
                    <w:t xml:space="preserve"> </w:t>
                  </w:r>
                  <w:r w:rsidRPr="00AA7B17">
                    <w:rPr>
                      <w:b/>
                    </w:rPr>
                    <w:t>in CD133</w:t>
                  </w:r>
                  <w:r>
                    <w:rPr>
                      <w:b/>
                    </w:rPr>
                    <w:t>+</w:t>
                  </w:r>
                  <w:r w:rsidRPr="00AA7B17">
                    <w:rPr>
                      <w:b/>
                    </w:rPr>
                    <w:t xml:space="preserve"> and CD133</w:t>
                  </w:r>
                  <w:r>
                    <w:rPr>
                      <w:b/>
                    </w:rPr>
                    <w:t>-</w:t>
                  </w:r>
                  <w:r w:rsidRPr="00AA7B17">
                    <w:rPr>
                      <w:b/>
                    </w:rPr>
                    <w:t xml:space="preserve"> subpopulations</w:t>
                  </w:r>
                  <w:r>
                    <w:rPr>
                      <w:b/>
                    </w:rPr>
                    <w:t xml:space="preserve">. </w:t>
                  </w:r>
                  <w:r>
                    <w:t xml:space="preserve">Isoforms significantly differentially expressed greater than four-fold are highlighted in yellow. Error bars are the 95% confidence intervals for the mathematical expression level estimates. </w:t>
                  </w:r>
                  <w:r>
                    <w:rPr>
                      <w:rFonts w:cs="Helvetica"/>
                      <w:szCs w:val="26"/>
                    </w:rPr>
                    <w:t>Here we use HGNC-approved gene symbols.</w:t>
                  </w:r>
                </w:p>
              </w:txbxContent>
            </v:textbox>
            <w10:wrap type="tight"/>
          </v:shape>
        </w:pict>
      </w: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F3285" w:rsidRDefault="00BF3285" w:rsidP="00BF3285">
      <w:pPr>
        <w:spacing w:after="120" w:line="360" w:lineRule="auto"/>
        <w:rPr>
          <w:rFonts w:cs="Arial"/>
          <w:b/>
          <w:szCs w:val="22"/>
        </w:rPr>
      </w:pPr>
    </w:p>
    <w:p w:rsidR="00BC6E1C" w:rsidRDefault="00BC6E1C" w:rsidP="00BF3285">
      <w:pPr>
        <w:spacing w:after="120" w:line="360" w:lineRule="auto"/>
        <w:rPr>
          <w:rFonts w:cs="Arial"/>
          <w:b/>
          <w:szCs w:val="22"/>
        </w:rPr>
      </w:pPr>
    </w:p>
    <w:p w:rsidR="00BC6E1C" w:rsidRDefault="00BC6E1C" w:rsidP="00BF3285">
      <w:pPr>
        <w:spacing w:after="120" w:line="360" w:lineRule="auto"/>
        <w:rPr>
          <w:rFonts w:cs="Arial"/>
          <w:b/>
          <w:szCs w:val="22"/>
        </w:rPr>
      </w:pPr>
    </w:p>
    <w:p w:rsidR="00BC6E1C" w:rsidRDefault="00BC6E1C" w:rsidP="00BF3285">
      <w:pPr>
        <w:spacing w:after="120" w:line="360" w:lineRule="auto"/>
        <w:rPr>
          <w:rFonts w:cs="Arial"/>
          <w:b/>
          <w:szCs w:val="22"/>
        </w:rPr>
      </w:pPr>
    </w:p>
    <w:p w:rsidR="00BC6E1C" w:rsidRDefault="00BC6E1C" w:rsidP="00BF3285">
      <w:pPr>
        <w:spacing w:after="120" w:line="360" w:lineRule="auto"/>
        <w:rPr>
          <w:rFonts w:cs="Arial"/>
          <w:b/>
          <w:szCs w:val="22"/>
        </w:rPr>
      </w:pPr>
    </w:p>
    <w:p w:rsidR="00BF3285" w:rsidRDefault="00BF3285" w:rsidP="00BF3285">
      <w:pPr>
        <w:spacing w:after="120" w:line="360" w:lineRule="auto"/>
        <w:rPr>
          <w:rFonts w:cs="Arial"/>
          <w:b/>
          <w:szCs w:val="22"/>
        </w:rPr>
      </w:pPr>
    </w:p>
    <w:p w:rsidR="00B70879" w:rsidRPr="00BC6E1C" w:rsidRDefault="005348D6" w:rsidP="00BC6E1C">
      <w:pPr>
        <w:spacing w:after="120" w:line="360" w:lineRule="auto"/>
        <w:rPr>
          <w:rFonts w:cs="Arial"/>
          <w:b/>
          <w:szCs w:val="22"/>
        </w:rPr>
      </w:pPr>
      <w:r>
        <w:rPr>
          <w:rFonts w:cs="Arial"/>
          <w:b/>
          <w:noProof/>
          <w:szCs w:val="22"/>
        </w:rPr>
        <w:pict>
          <v:shape id="_x0000_s1033" type="#_x0000_t202" style="position:absolute;margin-left:122pt;margin-top:-24.95pt;width:311.75pt;height:4in;z-index:251667456;visibility:visible;mso-wrap-edited:f;mso-position-horizontal:absolute;mso-position-vertical:absolut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" filled="f" stroked="f">
            <v:textbox style="mso-next-textbox:#_x0000_s1033" inset=",7.2pt,,7.2pt">
              <w:txbxContent>
                <w:p w:rsidR="00AF072A" w:rsidRPr="00A1781E" w:rsidRDefault="00AF072A" w:rsidP="00BF3285">
                  <w:r>
                    <w:rPr>
                      <w:noProof/>
                    </w:rPr>
                    <w:drawing>
                      <wp:inline distT="0" distB="0" distL="0" distR="0">
                        <wp:extent cx="3776345" cy="2840990"/>
                        <wp:effectExtent l="25400" t="0" r="8255" b="0"/>
                        <wp:docPr id="1" name="Picture 0" descr="qPCR w error ba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 w error bars.pdf"/>
                                <pic:cNvPicPr/>
                              </pic:nvPicPr>
                              <ve:AlternateContent xmlns:ma="http://schemas.microsoft.com/office/mac/drawingml/2008/main">
                                <ve:Choice Requires="ma">
                                  <pic:blipFill>
                                    <a:blip r:embed="rId20"/>
                                    <a:stretch>
                                      <a:fillRect/>
                                    </a:stretch>
                                  </pic:blipFill>
                                </ve:Choice>
                                <ve:Fallback xmlns:mo="http://schemas.microsoft.com/office/mac/office/2008/main" xmlns:mv="urn:schemas-microsoft-com:mac:vml"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ve="http://schemas.openxmlformats.org/markup-compatibility/2006" xmlns="" xmlns:ma="http://schemas.microsoft.com/office/mac/drawingml/2008/main">
                                  <pic:blipFill>
                                    <a:blip r:embed="rId21"/>
                                    <a:stretch>
                                      <a:fillRect/>
                                    </a:stretch>
                                  </pic:blipFill>
                                </ve:Fallback>
                              </ve:AlternateContent>
                              <pic:spPr>
                                <a:xfrm>
                                  <a:off x="0" y="0"/>
                                  <a:ext cx="3776345" cy="2840990"/>
                                </a:xfrm>
                                <a:prstGeom prst="rect">
                                  <a:avLst/>
                                </a:prstGeom>
                              </pic:spPr>
                            </pic:pic>
                          </a:graphicData>
                        </a:graphic>
                      </wp:inline>
                    </w:drawing>
                  </w:r>
                </w:p>
                <w:p w:rsidR="00AF072A" w:rsidRDefault="00AF072A" w:rsidP="00BF3285">
                  <w:r>
                    <w:rPr>
                      <w:b/>
                    </w:rPr>
                    <w:t xml:space="preserve">Figure </w:t>
                  </w:r>
                  <w:r w:rsidR="002C1979">
                    <w:rPr>
                      <w:b/>
                    </w:rPr>
                    <w:t>S</w:t>
                  </w:r>
                  <w:r>
                    <w:rPr>
                      <w:b/>
                    </w:rPr>
                    <w:t xml:space="preserve">7: </w:t>
                  </w:r>
                  <w:r w:rsidRPr="00A1781E">
                    <w:t xml:space="preserve">RT-qPCR </w:t>
                  </w:r>
                  <w:r>
                    <w:t>analysis confirms that</w:t>
                  </w:r>
                  <w:r w:rsidRPr="00A1781E">
                    <w:t xml:space="preserve"> </w:t>
                  </w:r>
                  <w:r>
                    <w:t>CMYC</w:t>
                  </w:r>
                  <w:r w:rsidRPr="00A1781E">
                    <w:t xml:space="preserve">, </w:t>
                  </w:r>
                  <w:r>
                    <w:t>MCL1</w:t>
                  </w:r>
                  <w:r w:rsidRPr="00A1781E">
                    <w:t xml:space="preserve">, and </w:t>
                  </w:r>
                  <w:r>
                    <w:t>BCLXL</w:t>
                  </w:r>
                  <w:r w:rsidRPr="00A1781E">
                    <w:t xml:space="preserve"> </w:t>
                  </w:r>
                  <w:r>
                    <w:t xml:space="preserve">are expressed at high levels </w:t>
                  </w:r>
                  <w:r w:rsidRPr="00A1781E">
                    <w:t xml:space="preserve">in </w:t>
                  </w:r>
                  <w:r>
                    <w:t xml:space="preserve">both </w:t>
                  </w:r>
                  <w:r w:rsidRPr="00A1781E">
                    <w:t>CD133</w:t>
                  </w:r>
                  <w:r>
                    <w:t>+</w:t>
                  </w:r>
                  <w:r w:rsidRPr="00A1781E">
                    <w:t xml:space="preserve"> and CD133</w:t>
                  </w:r>
                  <w:r>
                    <w:t>-</w:t>
                  </w:r>
                  <w:r w:rsidRPr="00A1781E">
                    <w:t xml:space="preserve"> </w:t>
                  </w:r>
                  <w:r>
                    <w:t>sub</w:t>
                  </w:r>
                  <w:r w:rsidRPr="00A1781E">
                    <w:t>populations.</w:t>
                  </w:r>
                </w:p>
              </w:txbxContent>
            </v:textbox>
            <w10:wrap type="tight"/>
          </v:shape>
        </w:pict>
      </w:r>
    </w:p>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B70879"/>
    <w:p w:rsidR="00B70879" w:rsidRDefault="005348D6" w:rsidP="00306128">
      <w:pPr>
        <w:jc w:val="center"/>
      </w:pPr>
      <w:r>
        <w:rPr>
          <w:noProof/>
        </w:rPr>
        <w:pict>
          <v:shape id="_x0000_s1048" type="#_x0000_t202" style="position:absolute;left:0;text-align:left;margin-left:18pt;margin-top:-18pt;width:450pt;height:468pt;z-index:251672576;mso-wrap-edited:f;mso-position-horizontal:absolute;mso-position-vertical:absolute" wrapcoords="0 0 21600 0 21600 21600 0 21600 0 0" filled="f" stroked="f">
            <v:fill o:detectmouseclick="t"/>
            <v:textbox style="mso-next-textbox:#_x0000_s1048" inset=",7.2pt,,7.2pt">
              <w:txbxContent>
                <w:p w:rsidR="00AF072A" w:rsidRDefault="00AF072A">
                  <w:r>
                    <w:rPr>
                      <w:noProof/>
                    </w:rPr>
                    <w:drawing>
                      <wp:inline distT="0" distB="0" distL="0" distR="0">
                        <wp:extent cx="5092453" cy="4483100"/>
                        <wp:effectExtent l="25400" t="0" r="0" b="0"/>
                        <wp:docPr id="62" name="Picture 61" descr="Barrett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t_Fig3.png"/>
                                <pic:cNvPicPr/>
                              </pic:nvPicPr>
                              <pic:blipFill>
                                <a:blip r:embed="rId22"/>
                                <a:stretch>
                                  <a:fillRect/>
                                </a:stretch>
                              </pic:blipFill>
                              <pic:spPr>
                                <a:xfrm>
                                  <a:off x="0" y="0"/>
                                  <a:ext cx="5097624" cy="4487652"/>
                                </a:xfrm>
                                <a:prstGeom prst="rect">
                                  <a:avLst/>
                                </a:prstGeom>
                              </pic:spPr>
                            </pic:pic>
                          </a:graphicData>
                        </a:graphic>
                      </wp:inline>
                    </w:drawing>
                  </w:r>
                </w:p>
                <w:p w:rsidR="00AF072A" w:rsidRDefault="00AF072A" w:rsidP="00BC6E1C">
                  <w:pPr>
                    <w:rPr>
                      <w:rFonts w:cs="Arial"/>
                      <w:b/>
                      <w:szCs w:val="22"/>
                    </w:rPr>
                  </w:pPr>
                </w:p>
                <w:p w:rsidR="00AF072A" w:rsidRDefault="00AF072A" w:rsidP="00BC6E1C">
                  <w:pPr>
                    <w:rPr>
                      <w:b/>
                    </w:rPr>
                  </w:pPr>
                  <w:r>
                    <w:rPr>
                      <w:rFonts w:cs="Arial"/>
                      <w:b/>
                      <w:szCs w:val="22"/>
                    </w:rPr>
                    <w:t xml:space="preserve">Figure </w:t>
                  </w:r>
                  <w:r w:rsidR="002C1979">
                    <w:rPr>
                      <w:rFonts w:cs="Arial"/>
                      <w:b/>
                      <w:szCs w:val="22"/>
                    </w:rPr>
                    <w:t>S</w:t>
                  </w:r>
                  <w:r>
                    <w:rPr>
                      <w:rFonts w:cs="Arial"/>
                      <w:b/>
                      <w:szCs w:val="22"/>
                    </w:rPr>
                    <w:t>8</w:t>
                  </w:r>
                  <w:r w:rsidRPr="00640D38">
                    <w:rPr>
                      <w:rFonts w:cs="Arial"/>
                      <w:b/>
                      <w:szCs w:val="22"/>
                    </w:rPr>
                    <w:t xml:space="preserve">: CNAs in the CD133+ subpopulation. </w:t>
                  </w:r>
                  <w:r w:rsidRPr="00640D38">
                    <w:rPr>
                      <w:rFonts w:cs="Arial"/>
                      <w:color w:val="292526"/>
                      <w:szCs w:val="22"/>
                    </w:rPr>
                    <w:t>Chromosome ideograms are shown around the outer ring and are oriented pter–qter in a clockwise direction with centromeres indicated in red. Other tracks contain somatic alterations calculated with LogR-ratio (</w:t>
                  </w:r>
                  <w:r w:rsidRPr="00640D38">
                    <w:rPr>
                      <w:rFonts w:cs="Arial"/>
                      <w:szCs w:val="22"/>
                    </w:rPr>
                    <w:t>outermost plot, blue</w:t>
                  </w:r>
                  <w:r w:rsidRPr="00640D38">
                    <w:rPr>
                      <w:rFonts w:cs="Arial"/>
                      <w:color w:val="292526"/>
                      <w:szCs w:val="22"/>
                    </w:rPr>
                    <w:t xml:space="preserve">) or calculated with </w:t>
                  </w:r>
                  <w:r w:rsidRPr="00640D38">
                    <w:rPr>
                      <w:rFonts w:cs="Arial"/>
                      <w:szCs w:val="22"/>
                    </w:rPr>
                    <w:t>B-allele frequency (innermost plot, red).</w:t>
                  </w:r>
                  <w:r w:rsidRPr="00640D38">
                    <w:rPr>
                      <w:rFonts w:cs="Times New Roman"/>
                    </w:rPr>
                    <w:t xml:space="preserve"> The genomic locations of 17 genes frequently mutated in lung cancer are shown and indicated if deleted (blue), amplified (red) or copy number neutral (grey) in the studied tumor.</w:t>
                  </w:r>
                </w:p>
                <w:p w:rsidR="00AF072A" w:rsidRDefault="00AF072A"/>
              </w:txbxContent>
            </v:textbox>
            <w10:wrap type="tight"/>
          </v:shape>
        </w:pict>
      </w:r>
    </w:p>
    <w:p w:rsidR="00B70879" w:rsidRDefault="00B70879" w:rsidP="00306128">
      <w:pPr>
        <w:jc w:val="center"/>
      </w:pPr>
    </w:p>
    <w:p w:rsidR="00B70879" w:rsidRDefault="00B70879" w:rsidP="00306128">
      <w:pPr>
        <w:jc w:val="center"/>
      </w:pPr>
    </w:p>
    <w:p w:rsidR="00B70879" w:rsidRDefault="00B70879" w:rsidP="00306128">
      <w:pPr>
        <w:jc w:val="center"/>
      </w:pPr>
    </w:p>
    <w:p w:rsidR="00B70879" w:rsidRDefault="00B70879" w:rsidP="00306128">
      <w:pPr>
        <w:jc w:val="center"/>
      </w:pPr>
    </w:p>
    <w:p w:rsidR="00B70879" w:rsidRDefault="00B70879" w:rsidP="00306128">
      <w:pPr>
        <w:jc w:val="center"/>
      </w:pPr>
    </w:p>
    <w:p w:rsidR="00B70879" w:rsidRDefault="00B70879" w:rsidP="00306128">
      <w:pPr>
        <w:jc w:val="cente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C6E1C" w:rsidRDefault="00BC6E1C" w:rsidP="00306128">
      <w:pPr>
        <w:jc w:val="center"/>
        <w:rPr>
          <w:b/>
        </w:rPr>
      </w:pPr>
    </w:p>
    <w:p w:rsidR="00B70879" w:rsidRDefault="00B70879">
      <w:pPr>
        <w:rPr>
          <w:b/>
        </w:rPr>
      </w:pPr>
      <w:r w:rsidRPr="00B70879">
        <w:rPr>
          <w:b/>
        </w:rPr>
        <w:t>References</w:t>
      </w:r>
    </w:p>
    <w:p w:rsidR="000D0487" w:rsidRPr="000D0487" w:rsidRDefault="005348D6">
      <w:pPr>
        <w:divId w:val="1465734052"/>
      </w:pPr>
      <w:r>
        <w:fldChar w:fldCharType="begin"/>
      </w:r>
      <w:r w:rsidR="00B70879">
        <w:instrText>ADDIN Mendeley Bibliography CSL_BIBLIOGRAPHY</w:instrText>
      </w:r>
      <w:r>
        <w:fldChar w:fldCharType="separate"/>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1.</w:t>
      </w:r>
      <w:r w:rsidRPr="000D0487">
        <w:rPr>
          <w:rFonts w:ascii="Arial" w:hAnsi="Arial"/>
          <w:sz w:val="22"/>
        </w:rPr>
        <w:tab/>
        <w:t>Pinto D, Darvishi K, Shi X, et al. Comprehensive assessment of array-based platforms and calling algorithms for detection of copy number variants. Nat Biotechnol. 2011;29(6):512–20.</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2.</w:t>
      </w:r>
      <w:r w:rsidRPr="000D0487">
        <w:rPr>
          <w:rFonts w:ascii="Arial" w:hAnsi="Arial"/>
          <w:sz w:val="22"/>
        </w:rPr>
        <w:tab/>
        <w:t>Weir BA, Woo MS, Getz G, et al. Characterizing the cancer genome in lung adenocarcinoma. Nature. 2007;450(7171):893–8.</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3.</w:t>
      </w:r>
      <w:r w:rsidRPr="000D0487">
        <w:rPr>
          <w:rFonts w:ascii="Arial" w:hAnsi="Arial"/>
          <w:sz w:val="22"/>
        </w:rPr>
        <w:tab/>
        <w:t>Bamford S, Dawson E, Forbes S, et al. The COSMIC (Catalogue of Somatic Mutations in Cancer) database and website. Br J Cancer. 2004;91(2):355–8.</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4.</w:t>
      </w:r>
      <w:r w:rsidRPr="000D0487">
        <w:rPr>
          <w:rFonts w:ascii="Arial" w:hAnsi="Arial"/>
          <w:sz w:val="22"/>
        </w:rPr>
        <w:tab/>
        <w:t>DePristo MA, Banks E, Poplin R, et al. A framework for variation discovery and genotyping using next-generation DNA sequencing data. Nat Genet. 2011;43(5):491–8.</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5.</w:t>
      </w:r>
      <w:r w:rsidRPr="000D0487">
        <w:rPr>
          <w:rFonts w:ascii="Arial" w:hAnsi="Arial"/>
          <w:sz w:val="22"/>
        </w:rPr>
        <w:tab/>
        <w:t>Picard command line tools[Internet]. Available from: http://picard.sourceforge.net</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6.</w:t>
      </w:r>
      <w:r w:rsidRPr="000D0487">
        <w:rPr>
          <w:rFonts w:ascii="Arial" w:hAnsi="Arial"/>
          <w:sz w:val="22"/>
        </w:rPr>
        <w:tab/>
        <w:t>Koboldt DC, Zhang Q, Larson DE, et al. VarScan 2: Somatic mutation and copy number alteration discovery in cancer by exome sequencing. Genome Res. 2012;22(3):568–576.</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7.</w:t>
      </w:r>
      <w:r w:rsidRPr="000D0487">
        <w:rPr>
          <w:rFonts w:ascii="Arial" w:hAnsi="Arial"/>
          <w:sz w:val="22"/>
        </w:rPr>
        <w:tab/>
        <w:t>Politi K, Lynch TJ. Two Sides of the Same Coin: EGFR Exon 19 Deletions and Insertions in Lung Cancer. Clin Cancer Res. 2012;181490–1492.</w:t>
      </w:r>
    </w:p>
    <w:p w:rsidR="000D0487" w:rsidRPr="000D0487" w:rsidRDefault="000D0487">
      <w:pPr>
        <w:pStyle w:val="NormalWeb"/>
        <w:spacing w:before="2" w:after="2"/>
        <w:ind w:left="640" w:hanging="640"/>
        <w:divId w:val="1465734052"/>
        <w:rPr>
          <w:rFonts w:ascii="Arial" w:hAnsi="Arial"/>
          <w:sz w:val="22"/>
        </w:rPr>
      </w:pPr>
      <w:r w:rsidRPr="000D0487">
        <w:rPr>
          <w:rFonts w:ascii="Arial" w:hAnsi="Arial"/>
          <w:sz w:val="22"/>
        </w:rPr>
        <w:t>8.</w:t>
      </w:r>
      <w:r w:rsidRPr="000D0487">
        <w:rPr>
          <w:rFonts w:ascii="Arial" w:hAnsi="Arial"/>
          <w:sz w:val="22"/>
        </w:rPr>
        <w:tab/>
        <w:t xml:space="preserve">TCGA[Internet]. Available from: http://cancergenome.nih.gov </w:t>
      </w:r>
    </w:p>
    <w:p w:rsidR="00B70879" w:rsidRPr="00B70879" w:rsidRDefault="005348D6">
      <w:r>
        <w:fldChar w:fldCharType="end"/>
      </w:r>
    </w:p>
    <w:sectPr w:rsidR="00B70879" w:rsidRPr="00B70879" w:rsidSect="00B70879">
      <w:footerReference w:type="default" r:id="rId23"/>
      <w:pgSz w:w="12240" w:h="15840"/>
      <w:pgMar w:top="720" w:right="720" w:bottom="720" w:left="720" w:gutter="0"/>
      <w:pgNumType w:start="1"/>
      <w:titlePg/>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72A" w:rsidRDefault="00AF072A" w:rsidP="00BE5A03">
      <w:r>
        <w:separator/>
      </w:r>
    </w:p>
  </w:endnote>
  <w:endnote w:type="continuationSeparator" w:id="0">
    <w:p w:rsidR="00AF072A" w:rsidRDefault="00AF072A" w:rsidP="00BE5A0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DejaVu Sans">
    <w:altName w:val="ＭＳ 明朝"/>
    <w:charset w:val="80"/>
    <w:family w:val="auto"/>
    <w:pitch w:val="variable"/>
    <w:sig w:usb0="00000000" w:usb1="00000000" w:usb2="00000000" w:usb3="00000000" w:csb0="00000000" w:csb1="00000000"/>
  </w:font>
  <w:font w:name="Lucida Sans">
    <w:panose1 w:val="020B06020305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imesNewRomanPS-BoldMT">
    <w:altName w:val="Times New Roman Bold"/>
    <w:panose1 w:val="00000000000000000000"/>
    <w:charset w:val="4D"/>
    <w:family w:val="roman"/>
    <w:notTrueType/>
    <w:pitch w:val="default"/>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0914"/>
      <w:docPartObj>
        <w:docPartGallery w:val="Page Numbers (Bottom of Page)"/>
        <w:docPartUnique/>
      </w:docPartObj>
    </w:sdtPr>
    <w:sdtContent>
      <w:p w:rsidR="00AF072A" w:rsidRDefault="005348D6">
        <w:pPr>
          <w:pStyle w:val="Footer"/>
          <w:jc w:val="center"/>
        </w:pPr>
        <w:fldSimple w:instr=" PAGE   \* MERGEFORMAT ">
          <w:r w:rsidR="00B538AA">
            <w:rPr>
              <w:noProof/>
            </w:rPr>
            <w:t>7</w:t>
          </w:r>
        </w:fldSimple>
      </w:p>
    </w:sdtContent>
  </w:sdt>
  <w:p w:rsidR="00AF072A" w:rsidRDefault="00AF072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72A" w:rsidRDefault="00AF072A" w:rsidP="00BE5A03">
      <w:r>
        <w:separator/>
      </w:r>
    </w:p>
  </w:footnote>
  <w:footnote w:type="continuationSeparator" w:id="0">
    <w:p w:rsidR="00AF072A" w:rsidRDefault="00AF072A" w:rsidP="00BE5A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F3285"/>
    <w:rsid w:val="000D0487"/>
    <w:rsid w:val="000F6A9F"/>
    <w:rsid w:val="0023006B"/>
    <w:rsid w:val="002C1979"/>
    <w:rsid w:val="00306128"/>
    <w:rsid w:val="005348D6"/>
    <w:rsid w:val="005D1FCF"/>
    <w:rsid w:val="006923BA"/>
    <w:rsid w:val="006A5AB7"/>
    <w:rsid w:val="00A21FD6"/>
    <w:rsid w:val="00A444B1"/>
    <w:rsid w:val="00A97092"/>
    <w:rsid w:val="00AF072A"/>
    <w:rsid w:val="00B538AA"/>
    <w:rsid w:val="00B65DE5"/>
    <w:rsid w:val="00B70879"/>
    <w:rsid w:val="00B969D5"/>
    <w:rsid w:val="00BC6E1C"/>
    <w:rsid w:val="00BE5A03"/>
    <w:rsid w:val="00BF3285"/>
    <w:rsid w:val="00C5786F"/>
    <w:rsid w:val="00DA6A53"/>
    <w:rsid w:val="00E902CA"/>
    <w:rsid w:val="00EE437D"/>
    <w:rsid w:val="00FB7042"/>
  </w:rsids>
  <m:mathPr>
    <m:mathFont m:val="Lucida Sans"/>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85"/>
    <w:rPr>
      <w:rFonts w:ascii="Arial" w:hAnsi="Arial"/>
      <w:sz w:val="22"/>
    </w:rPr>
  </w:style>
  <w:style w:type="paragraph" w:styleId="Heading1">
    <w:name w:val="heading 1"/>
    <w:basedOn w:val="Normal"/>
    <w:link w:val="Heading1Char"/>
    <w:uiPriority w:val="9"/>
    <w:qFormat/>
    <w:rsid w:val="00B70879"/>
    <w:pPr>
      <w:spacing w:after="240"/>
      <w:outlineLvl w:val="0"/>
    </w:pPr>
    <w:rPr>
      <w:rFonts w:ascii="Times New Roman" w:eastAsia="Times New Roman" w:hAnsi="Times New Roman" w:cs="Times New Roman"/>
      <w:b/>
      <w:bCs/>
      <w:color w:val="444444"/>
      <w:kern w:val="36"/>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rsid w:val="00BF3285"/>
    <w:pPr>
      <w:tabs>
        <w:tab w:val="center" w:pos="4680"/>
        <w:tab w:val="right" w:pos="9360"/>
      </w:tabs>
    </w:pPr>
  </w:style>
  <w:style w:type="character" w:customStyle="1" w:styleId="FooterChar">
    <w:name w:val="Footer Char"/>
    <w:basedOn w:val="DefaultParagraphFont"/>
    <w:link w:val="Footer"/>
    <w:uiPriority w:val="99"/>
    <w:rsid w:val="00BF3285"/>
    <w:rPr>
      <w:rFonts w:ascii="Arial" w:hAnsi="Arial"/>
      <w:sz w:val="22"/>
    </w:rPr>
  </w:style>
  <w:style w:type="character" w:styleId="Hyperlink">
    <w:name w:val="Hyperlink"/>
    <w:uiPriority w:val="99"/>
    <w:rsid w:val="00BF3285"/>
    <w:rPr>
      <w:color w:val="0000FF"/>
      <w:u w:val="single"/>
    </w:rPr>
  </w:style>
  <w:style w:type="paragraph" w:styleId="NoSpacing">
    <w:name w:val="No Spacing"/>
    <w:qFormat/>
    <w:rsid w:val="00BF3285"/>
    <w:pPr>
      <w:widowControl w:val="0"/>
      <w:tabs>
        <w:tab w:val="left" w:pos="709"/>
      </w:tabs>
      <w:suppressAutoHyphens/>
      <w:spacing w:after="200" w:line="276" w:lineRule="atLeast"/>
    </w:pPr>
    <w:rPr>
      <w:rFonts w:ascii="Times New Roman" w:eastAsia="DejaVu Sans" w:hAnsi="Times New Roman" w:cs="Lucida Sans"/>
      <w:kern w:val="1"/>
      <w:sz w:val="22"/>
      <w:szCs w:val="22"/>
      <w:lang w:eastAsia="hi-IN" w:bidi="hi-IN"/>
    </w:rPr>
  </w:style>
  <w:style w:type="paragraph" w:styleId="NormalWeb">
    <w:name w:val="Normal (Web)"/>
    <w:basedOn w:val="Normal"/>
    <w:uiPriority w:val="99"/>
    <w:rsid w:val="00B70879"/>
    <w:pPr>
      <w:spacing w:beforeLines="1" w:afterLines="1"/>
    </w:pPr>
    <w:rPr>
      <w:rFonts w:ascii="Times" w:eastAsiaTheme="minorEastAsia" w:hAnsi="Times" w:cs="Times New Roman"/>
      <w:sz w:val="20"/>
      <w:szCs w:val="20"/>
    </w:rPr>
  </w:style>
  <w:style w:type="character" w:customStyle="1" w:styleId="Heading1Char">
    <w:name w:val="Heading 1 Char"/>
    <w:basedOn w:val="DefaultParagraphFont"/>
    <w:link w:val="Heading1"/>
    <w:uiPriority w:val="9"/>
    <w:rsid w:val="00B70879"/>
    <w:rPr>
      <w:rFonts w:ascii="Times New Roman" w:eastAsia="Times New Roman" w:hAnsi="Times New Roman" w:cs="Times New Roman"/>
      <w:b/>
      <w:bCs/>
      <w:color w:val="444444"/>
      <w:kern w:val="36"/>
    </w:rPr>
  </w:style>
  <w:style w:type="paragraph" w:styleId="BalloonText">
    <w:name w:val="Balloon Text"/>
    <w:basedOn w:val="Normal"/>
    <w:link w:val="BalloonTextChar"/>
    <w:uiPriority w:val="99"/>
    <w:semiHidden/>
    <w:unhideWhenUsed/>
    <w:rsid w:val="00EE437D"/>
    <w:rPr>
      <w:rFonts w:ascii="Tahoma" w:hAnsi="Tahoma" w:cs="Tahoma"/>
      <w:sz w:val="16"/>
      <w:szCs w:val="16"/>
    </w:rPr>
  </w:style>
  <w:style w:type="character" w:customStyle="1" w:styleId="BalloonTextChar">
    <w:name w:val="Balloon Text Char"/>
    <w:basedOn w:val="DefaultParagraphFont"/>
    <w:link w:val="BalloonText"/>
    <w:uiPriority w:val="99"/>
    <w:semiHidden/>
    <w:rsid w:val="00EE43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347213">
      <w:bodyDiv w:val="1"/>
      <w:marLeft w:val="0"/>
      <w:marRight w:val="0"/>
      <w:marTop w:val="0"/>
      <w:marBottom w:val="0"/>
      <w:divBdr>
        <w:top w:val="none" w:sz="0" w:space="0" w:color="auto"/>
        <w:left w:val="none" w:sz="0" w:space="0" w:color="auto"/>
        <w:bottom w:val="none" w:sz="0" w:space="0" w:color="auto"/>
        <w:right w:val="none" w:sz="0" w:space="0" w:color="auto"/>
      </w:divBdr>
    </w:div>
    <w:div w:id="268514184">
      <w:bodyDiv w:val="1"/>
      <w:marLeft w:val="0"/>
      <w:marRight w:val="0"/>
      <w:marTop w:val="0"/>
      <w:marBottom w:val="0"/>
      <w:divBdr>
        <w:top w:val="none" w:sz="0" w:space="0" w:color="auto"/>
        <w:left w:val="none" w:sz="0" w:space="0" w:color="auto"/>
        <w:bottom w:val="none" w:sz="0" w:space="0" w:color="auto"/>
        <w:right w:val="none" w:sz="0" w:space="0" w:color="auto"/>
      </w:divBdr>
    </w:div>
    <w:div w:id="1273441314">
      <w:bodyDiv w:val="1"/>
      <w:marLeft w:val="0"/>
      <w:marRight w:val="0"/>
      <w:marTop w:val="0"/>
      <w:marBottom w:val="0"/>
      <w:divBdr>
        <w:top w:val="none" w:sz="0" w:space="0" w:color="auto"/>
        <w:left w:val="none" w:sz="0" w:space="0" w:color="auto"/>
        <w:bottom w:val="none" w:sz="0" w:space="0" w:color="auto"/>
        <w:right w:val="none" w:sz="0" w:space="0" w:color="auto"/>
      </w:divBdr>
    </w:div>
    <w:div w:id="1353148087">
      <w:bodyDiv w:val="1"/>
      <w:marLeft w:val="0"/>
      <w:marRight w:val="0"/>
      <w:marTop w:val="0"/>
      <w:marBottom w:val="0"/>
      <w:divBdr>
        <w:top w:val="none" w:sz="0" w:space="0" w:color="auto"/>
        <w:left w:val="none" w:sz="0" w:space="0" w:color="auto"/>
        <w:bottom w:val="none" w:sz="0" w:space="0" w:color="auto"/>
        <w:right w:val="none" w:sz="0" w:space="0" w:color="auto"/>
      </w:divBdr>
    </w:div>
    <w:div w:id="1465734052">
      <w:bodyDiv w:val="1"/>
      <w:marLeft w:val="0"/>
      <w:marRight w:val="0"/>
      <w:marTop w:val="0"/>
      <w:marBottom w:val="0"/>
      <w:divBdr>
        <w:top w:val="none" w:sz="0" w:space="0" w:color="auto"/>
        <w:left w:val="none" w:sz="0" w:space="0" w:color="auto"/>
        <w:bottom w:val="none" w:sz="0" w:space="0" w:color="auto"/>
        <w:right w:val="none" w:sz="0" w:space="0" w:color="auto"/>
      </w:divBdr>
    </w:div>
    <w:div w:id="1482574074">
      <w:bodyDiv w:val="1"/>
      <w:marLeft w:val="0"/>
      <w:marRight w:val="0"/>
      <w:marTop w:val="0"/>
      <w:marBottom w:val="0"/>
      <w:divBdr>
        <w:top w:val="none" w:sz="0" w:space="0" w:color="auto"/>
        <w:left w:val="none" w:sz="0" w:space="0" w:color="auto"/>
        <w:bottom w:val="none" w:sz="0" w:space="0" w:color="auto"/>
        <w:right w:val="none" w:sz="0" w:space="0" w:color="auto"/>
      </w:divBdr>
    </w:div>
    <w:div w:id="1564633929">
      <w:bodyDiv w:val="1"/>
      <w:marLeft w:val="0"/>
      <w:marRight w:val="0"/>
      <w:marTop w:val="0"/>
      <w:marBottom w:val="0"/>
      <w:divBdr>
        <w:top w:val="none" w:sz="0" w:space="0" w:color="auto"/>
        <w:left w:val="none" w:sz="0" w:space="0" w:color="auto"/>
        <w:bottom w:val="none" w:sz="0" w:space="0" w:color="auto"/>
        <w:right w:val="none" w:sz="0" w:space="0" w:color="auto"/>
      </w:divBdr>
    </w:div>
    <w:div w:id="1731879920">
      <w:bodyDiv w:val="1"/>
      <w:marLeft w:val="0"/>
      <w:marRight w:val="0"/>
      <w:marTop w:val="0"/>
      <w:marBottom w:val="0"/>
      <w:divBdr>
        <w:top w:val="none" w:sz="0" w:space="0" w:color="auto"/>
        <w:left w:val="none" w:sz="0" w:space="0" w:color="auto"/>
        <w:bottom w:val="none" w:sz="0" w:space="0" w:color="auto"/>
        <w:right w:val="none" w:sz="0" w:space="0" w:color="auto"/>
      </w:divBdr>
    </w:div>
    <w:div w:id="21157809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1.pdf"/><Relationship Id="rId21" Type="http://schemas.openxmlformats.org/officeDocument/2006/relationships/image" Target="media/image71.png"/><Relationship Id="rId22" Type="http://schemas.openxmlformats.org/officeDocument/2006/relationships/image" Target="media/image12.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df"/><Relationship Id="rId15" Type="http://schemas.openxmlformats.org/officeDocument/2006/relationships/image" Target="media/image41.png"/><Relationship Id="rId16" Type="http://schemas.openxmlformats.org/officeDocument/2006/relationships/image" Target="media/image9.pdf"/><Relationship Id="rId17" Type="http://schemas.openxmlformats.org/officeDocument/2006/relationships/image" Target="media/image51.png"/><Relationship Id="rId18" Type="http://schemas.openxmlformats.org/officeDocument/2006/relationships/image" Target="media/image10.pdf"/><Relationship Id="rId19" Type="http://schemas.openxmlformats.org/officeDocument/2006/relationships/image" Target="media/image61.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kafrazer@ucsd.edu" TargetMode="External"/><Relationship Id="rId7" Type="http://schemas.openxmlformats.org/officeDocument/2006/relationships/image" Target="media/image1.emf"/><Relationship Id="rId8" Type="http://schemas.openxmlformats.org/officeDocument/2006/relationships/image" Target="media/image2.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17</Pages>
  <Words>7541</Words>
  <Characters>42989</Characters>
  <Application>Microsoft Macintosh Word</Application>
  <DocSecurity>0</DocSecurity>
  <Lines>358</Lines>
  <Paragraphs>85</Paragraphs>
  <ScaleCrop>false</ScaleCrop>
  <Company>University of California, San Diego</Company>
  <LinksUpToDate>false</LinksUpToDate>
  <CharactersWithSpaces>52793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Barrett</dc:creator>
  <cp:keywords/>
  <cp:lastModifiedBy>Christian Barrett</cp:lastModifiedBy>
  <cp:revision>5</cp:revision>
  <cp:lastPrinted>2012-06-20T23:16:00Z</cp:lastPrinted>
  <dcterms:created xsi:type="dcterms:W3CDTF">2012-12-13T21:31:00Z</dcterms:created>
  <dcterms:modified xsi:type="dcterms:W3CDTF">2013-02-27T23:57:00Z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http://www.zotero.org/styles/aacr</vt:lpwstr>
  </property>
  <property fmtid="{D5CDD505-2E9C-101B-9397-08002B2CF9AE}" pid="4" name="Mendeley User Name_1">
    <vt:lpwstr>cbarrett@ucsd.edu@www.mendeley.com</vt:lpwstr>
  </property>
</Properties>
</file>