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62" w:rsidRDefault="007E6862" w:rsidP="007E6862">
      <w:pPr>
        <w:spacing w:line="480" w:lineRule="auto"/>
        <w:jc w:val="both"/>
      </w:pPr>
      <w:r w:rsidRPr="008157C4">
        <w:rPr>
          <w:b/>
        </w:rPr>
        <w:t>T</w:t>
      </w:r>
      <w:r>
        <w:rPr>
          <w:b/>
        </w:rPr>
        <w:t>able S</w:t>
      </w:r>
      <w:r w:rsidR="00ED7FBE">
        <w:rPr>
          <w:b/>
        </w:rPr>
        <w:t>2</w:t>
      </w:r>
    </w:p>
    <w:tbl>
      <w:tblPr>
        <w:tblW w:w="5000" w:type="pct"/>
        <w:tblLook w:val="04A0" w:firstRow="1" w:lastRow="0" w:firstColumn="1" w:lastColumn="0" w:noHBand="0" w:noVBand="1"/>
      </w:tblPr>
      <w:tblGrid>
        <w:gridCol w:w="1619"/>
        <w:gridCol w:w="635"/>
        <w:gridCol w:w="1745"/>
        <w:gridCol w:w="672"/>
        <w:gridCol w:w="635"/>
        <w:gridCol w:w="1462"/>
        <w:gridCol w:w="672"/>
        <w:gridCol w:w="635"/>
        <w:gridCol w:w="2060"/>
        <w:gridCol w:w="672"/>
        <w:gridCol w:w="635"/>
        <w:gridCol w:w="2060"/>
        <w:gridCol w:w="672"/>
      </w:tblGrid>
      <w:tr w:rsidR="007E6862" w:rsidRPr="00BE0331" w:rsidTr="00824C7A">
        <w:trPr>
          <w:trHeight w:val="255"/>
          <w:tblHeader/>
        </w:trPr>
        <w:tc>
          <w:tcPr>
            <w:tcW w:w="571" w:type="pct"/>
            <w:tcBorders>
              <w:top w:val="single" w:sz="4" w:space="0" w:color="auto"/>
              <w:left w:val="single" w:sz="4" w:space="0" w:color="auto"/>
              <w:right w:val="nil"/>
            </w:tcBorders>
            <w:shd w:val="clear" w:color="auto" w:fill="auto"/>
            <w:noWrap/>
            <w:vAlign w:val="center"/>
            <w:hideMark/>
          </w:tcPr>
          <w:p w:rsidR="007E6862" w:rsidRPr="00BE0331" w:rsidRDefault="007E6862" w:rsidP="00824C7A">
            <w:pPr>
              <w:pStyle w:val="Tablebold"/>
            </w:pPr>
            <w:r w:rsidRPr="00BE0331">
              <w:t>Characteristic</w:t>
            </w:r>
          </w:p>
        </w:tc>
        <w:tc>
          <w:tcPr>
            <w:tcW w:w="1077" w:type="pct"/>
            <w:gridSpan w:val="3"/>
            <w:tcBorders>
              <w:top w:val="single" w:sz="4" w:space="0" w:color="auto"/>
              <w:left w:val="nil"/>
              <w:bottom w:val="nil"/>
              <w:right w:val="nil"/>
            </w:tcBorders>
            <w:shd w:val="clear" w:color="auto" w:fill="auto"/>
            <w:hideMark/>
          </w:tcPr>
          <w:p w:rsidR="007E6862" w:rsidRPr="00BE0331" w:rsidRDefault="007E6862" w:rsidP="00824C7A">
            <w:pPr>
              <w:pStyle w:val="Tablebold"/>
              <w:jc w:val="center"/>
            </w:pPr>
            <w:r w:rsidRPr="00BE0331">
              <w:t>Adjusted</w:t>
            </w:r>
          </w:p>
        </w:tc>
        <w:tc>
          <w:tcPr>
            <w:tcW w:w="977" w:type="pct"/>
            <w:gridSpan w:val="3"/>
            <w:tcBorders>
              <w:top w:val="single" w:sz="4" w:space="0" w:color="auto"/>
              <w:left w:val="nil"/>
              <w:bottom w:val="nil"/>
              <w:right w:val="nil"/>
            </w:tcBorders>
            <w:shd w:val="clear" w:color="auto" w:fill="auto"/>
            <w:hideMark/>
          </w:tcPr>
          <w:p w:rsidR="007E6862" w:rsidRPr="00BE0331" w:rsidRDefault="007E6862" w:rsidP="00824C7A">
            <w:pPr>
              <w:pStyle w:val="Tablebold"/>
              <w:jc w:val="center"/>
            </w:pPr>
            <w:r w:rsidRPr="00BE0331">
              <w:t>Adjusted</w:t>
            </w:r>
          </w:p>
        </w:tc>
        <w:tc>
          <w:tcPr>
            <w:tcW w:w="1188" w:type="pct"/>
            <w:gridSpan w:val="3"/>
            <w:tcBorders>
              <w:top w:val="single" w:sz="4" w:space="0" w:color="auto"/>
              <w:left w:val="nil"/>
              <w:bottom w:val="nil"/>
              <w:right w:val="nil"/>
            </w:tcBorders>
            <w:shd w:val="clear" w:color="auto" w:fill="auto"/>
            <w:hideMark/>
          </w:tcPr>
          <w:p w:rsidR="007E6862" w:rsidRPr="00BE0331" w:rsidRDefault="007E6862" w:rsidP="00824C7A">
            <w:pPr>
              <w:pStyle w:val="Tablebold"/>
              <w:jc w:val="center"/>
            </w:pPr>
            <w:r w:rsidRPr="00BE0331">
              <w:t>Adjusted</w:t>
            </w:r>
          </w:p>
        </w:tc>
        <w:tc>
          <w:tcPr>
            <w:tcW w:w="1188" w:type="pct"/>
            <w:gridSpan w:val="3"/>
            <w:tcBorders>
              <w:top w:val="single" w:sz="4" w:space="0" w:color="auto"/>
              <w:left w:val="nil"/>
              <w:bottom w:val="nil"/>
              <w:right w:val="single" w:sz="4" w:space="0" w:color="000000"/>
            </w:tcBorders>
            <w:shd w:val="clear" w:color="auto" w:fill="auto"/>
            <w:hideMark/>
          </w:tcPr>
          <w:p w:rsidR="007E6862" w:rsidRPr="00BE0331" w:rsidRDefault="007E6862" w:rsidP="00824C7A">
            <w:pPr>
              <w:pStyle w:val="Tablebold"/>
              <w:jc w:val="center"/>
            </w:pPr>
            <w:r w:rsidRPr="00BE0331">
              <w:t>Adjusted</w:t>
            </w:r>
          </w:p>
        </w:tc>
      </w:tr>
      <w:tr w:rsidR="007E6862" w:rsidRPr="00BE0331" w:rsidTr="00824C7A">
        <w:trPr>
          <w:trHeight w:val="255"/>
          <w:tblHeader/>
        </w:trPr>
        <w:tc>
          <w:tcPr>
            <w:tcW w:w="571" w:type="pct"/>
            <w:tcBorders>
              <w:left w:val="single" w:sz="4" w:space="0" w:color="auto"/>
              <w:bottom w:val="nil"/>
              <w:right w:val="nil"/>
            </w:tcBorders>
            <w:shd w:val="clear" w:color="auto" w:fill="auto"/>
            <w:vAlign w:val="center"/>
            <w:hideMark/>
          </w:tcPr>
          <w:p w:rsidR="007E6862" w:rsidRPr="00BE0331" w:rsidRDefault="007E6862" w:rsidP="00824C7A">
            <w:pPr>
              <w:pStyle w:val="Tablebold"/>
            </w:pPr>
          </w:p>
        </w:tc>
        <w:tc>
          <w:tcPr>
            <w:tcW w:w="224" w:type="pct"/>
            <w:tcBorders>
              <w:top w:val="nil"/>
              <w:left w:val="nil"/>
              <w:bottom w:val="nil"/>
              <w:right w:val="nil"/>
            </w:tcBorders>
            <w:shd w:val="clear" w:color="auto" w:fill="auto"/>
            <w:vAlign w:val="bottom"/>
            <w:hideMark/>
          </w:tcPr>
          <w:p w:rsidR="007E6862" w:rsidRPr="00BE0331" w:rsidRDefault="007E6862" w:rsidP="00824C7A">
            <w:pPr>
              <w:pStyle w:val="Tablebold"/>
              <w:jc w:val="center"/>
            </w:pPr>
            <w:r w:rsidRPr="00BE0331">
              <w:t>β*</w:t>
            </w:r>
          </w:p>
        </w:tc>
        <w:tc>
          <w:tcPr>
            <w:tcW w:w="616" w:type="pct"/>
            <w:tcBorders>
              <w:top w:val="nil"/>
              <w:left w:val="nil"/>
              <w:bottom w:val="nil"/>
              <w:right w:val="nil"/>
            </w:tcBorders>
            <w:shd w:val="clear" w:color="auto" w:fill="auto"/>
            <w:vAlign w:val="bottom"/>
            <w:hideMark/>
          </w:tcPr>
          <w:p w:rsidR="007E6862" w:rsidRPr="00BE0331" w:rsidRDefault="007E6862" w:rsidP="00824C7A">
            <w:pPr>
              <w:pStyle w:val="Tablebold"/>
              <w:jc w:val="center"/>
            </w:pPr>
            <w:r w:rsidRPr="00BE0331">
              <w:t>[95% CI]†</w:t>
            </w:r>
          </w:p>
        </w:tc>
        <w:tc>
          <w:tcPr>
            <w:tcW w:w="237" w:type="pct"/>
            <w:tcBorders>
              <w:top w:val="nil"/>
              <w:left w:val="nil"/>
              <w:bottom w:val="nil"/>
              <w:right w:val="nil"/>
            </w:tcBorders>
            <w:shd w:val="clear" w:color="auto" w:fill="auto"/>
            <w:hideMark/>
          </w:tcPr>
          <w:p w:rsidR="007E6862" w:rsidRPr="00BE0331" w:rsidRDefault="007E6862" w:rsidP="00824C7A">
            <w:pPr>
              <w:pStyle w:val="Tablebold"/>
              <w:jc w:val="center"/>
              <w:rPr>
                <w:i/>
                <w:iCs/>
              </w:rPr>
            </w:pPr>
            <w:r w:rsidRPr="00BE0331">
              <w:rPr>
                <w:i/>
                <w:iCs/>
              </w:rPr>
              <w:t>p‡</w:t>
            </w:r>
          </w:p>
        </w:tc>
        <w:tc>
          <w:tcPr>
            <w:tcW w:w="224" w:type="pct"/>
            <w:tcBorders>
              <w:top w:val="nil"/>
              <w:left w:val="nil"/>
              <w:bottom w:val="nil"/>
              <w:right w:val="nil"/>
            </w:tcBorders>
            <w:shd w:val="clear" w:color="auto" w:fill="auto"/>
            <w:vAlign w:val="bottom"/>
            <w:hideMark/>
          </w:tcPr>
          <w:p w:rsidR="007E6862" w:rsidRPr="00BE0331" w:rsidRDefault="007E6862" w:rsidP="00824C7A">
            <w:pPr>
              <w:pStyle w:val="Tablebold"/>
              <w:jc w:val="center"/>
              <w:rPr>
                <w:i/>
                <w:iCs/>
              </w:rPr>
            </w:pPr>
            <w:r w:rsidRPr="00BE0331">
              <w:rPr>
                <w:i/>
                <w:iCs/>
              </w:rPr>
              <w:t>β</w:t>
            </w:r>
          </w:p>
        </w:tc>
        <w:tc>
          <w:tcPr>
            <w:tcW w:w="516" w:type="pct"/>
            <w:tcBorders>
              <w:top w:val="nil"/>
              <w:left w:val="nil"/>
              <w:bottom w:val="nil"/>
              <w:right w:val="nil"/>
            </w:tcBorders>
            <w:shd w:val="clear" w:color="auto" w:fill="auto"/>
            <w:vAlign w:val="bottom"/>
            <w:hideMark/>
          </w:tcPr>
          <w:p w:rsidR="007E6862" w:rsidRPr="00BE0331" w:rsidRDefault="007E6862" w:rsidP="00824C7A">
            <w:pPr>
              <w:pStyle w:val="Tablebold"/>
              <w:jc w:val="center"/>
            </w:pPr>
            <w:r w:rsidRPr="00BE0331">
              <w:t>[95% CI]</w:t>
            </w:r>
          </w:p>
        </w:tc>
        <w:tc>
          <w:tcPr>
            <w:tcW w:w="237" w:type="pct"/>
            <w:tcBorders>
              <w:top w:val="nil"/>
              <w:left w:val="nil"/>
              <w:bottom w:val="nil"/>
              <w:right w:val="nil"/>
            </w:tcBorders>
            <w:shd w:val="clear" w:color="auto" w:fill="auto"/>
            <w:hideMark/>
          </w:tcPr>
          <w:p w:rsidR="007E6862" w:rsidRPr="00BE0331" w:rsidRDefault="007E6862" w:rsidP="00824C7A">
            <w:pPr>
              <w:pStyle w:val="Tablebold"/>
              <w:jc w:val="center"/>
              <w:rPr>
                <w:i/>
                <w:iCs/>
              </w:rPr>
            </w:pPr>
            <w:r w:rsidRPr="00BE0331">
              <w:rPr>
                <w:i/>
                <w:iCs/>
              </w:rPr>
              <w:t>p</w:t>
            </w:r>
          </w:p>
        </w:tc>
        <w:tc>
          <w:tcPr>
            <w:tcW w:w="224" w:type="pct"/>
            <w:tcBorders>
              <w:top w:val="nil"/>
              <w:left w:val="nil"/>
              <w:bottom w:val="nil"/>
              <w:right w:val="nil"/>
            </w:tcBorders>
            <w:shd w:val="clear" w:color="auto" w:fill="auto"/>
            <w:vAlign w:val="bottom"/>
            <w:hideMark/>
          </w:tcPr>
          <w:p w:rsidR="007E6862" w:rsidRPr="00BE0331" w:rsidRDefault="007E6862" w:rsidP="00824C7A">
            <w:pPr>
              <w:pStyle w:val="Tablebold"/>
              <w:jc w:val="center"/>
              <w:rPr>
                <w:i/>
                <w:iCs/>
              </w:rPr>
            </w:pPr>
            <w:r w:rsidRPr="00BE0331">
              <w:rPr>
                <w:i/>
                <w:iCs/>
              </w:rPr>
              <w:t>β</w:t>
            </w:r>
          </w:p>
        </w:tc>
        <w:tc>
          <w:tcPr>
            <w:tcW w:w="727" w:type="pct"/>
            <w:tcBorders>
              <w:top w:val="nil"/>
              <w:left w:val="nil"/>
              <w:bottom w:val="nil"/>
              <w:right w:val="nil"/>
            </w:tcBorders>
            <w:shd w:val="clear" w:color="auto" w:fill="auto"/>
            <w:vAlign w:val="bottom"/>
            <w:hideMark/>
          </w:tcPr>
          <w:p w:rsidR="007E6862" w:rsidRPr="00BE0331" w:rsidRDefault="007E6862" w:rsidP="00824C7A">
            <w:pPr>
              <w:pStyle w:val="Tablebold"/>
              <w:jc w:val="center"/>
            </w:pPr>
            <w:r w:rsidRPr="00BE0331">
              <w:t>[95% CI]</w:t>
            </w:r>
          </w:p>
        </w:tc>
        <w:tc>
          <w:tcPr>
            <w:tcW w:w="237" w:type="pct"/>
            <w:tcBorders>
              <w:top w:val="nil"/>
              <w:left w:val="nil"/>
              <w:bottom w:val="nil"/>
              <w:right w:val="nil"/>
            </w:tcBorders>
            <w:shd w:val="clear" w:color="auto" w:fill="auto"/>
            <w:hideMark/>
          </w:tcPr>
          <w:p w:rsidR="007E6862" w:rsidRPr="00BE0331" w:rsidRDefault="007E6862" w:rsidP="00824C7A">
            <w:pPr>
              <w:pStyle w:val="Tablebold"/>
              <w:jc w:val="center"/>
              <w:rPr>
                <w:i/>
                <w:iCs/>
              </w:rPr>
            </w:pPr>
            <w:r w:rsidRPr="00BE0331">
              <w:rPr>
                <w:i/>
                <w:iCs/>
              </w:rPr>
              <w:t>p</w:t>
            </w:r>
          </w:p>
        </w:tc>
        <w:tc>
          <w:tcPr>
            <w:tcW w:w="224" w:type="pct"/>
            <w:tcBorders>
              <w:top w:val="nil"/>
              <w:left w:val="nil"/>
              <w:bottom w:val="nil"/>
              <w:right w:val="nil"/>
            </w:tcBorders>
            <w:shd w:val="clear" w:color="auto" w:fill="auto"/>
            <w:vAlign w:val="bottom"/>
            <w:hideMark/>
          </w:tcPr>
          <w:p w:rsidR="007E6862" w:rsidRPr="00BE0331" w:rsidRDefault="007E6862" w:rsidP="00824C7A">
            <w:pPr>
              <w:pStyle w:val="Tablebold"/>
              <w:jc w:val="center"/>
              <w:rPr>
                <w:i/>
                <w:iCs/>
              </w:rPr>
            </w:pPr>
            <w:r w:rsidRPr="00BE0331">
              <w:rPr>
                <w:i/>
                <w:iCs/>
              </w:rPr>
              <w:t>β</w:t>
            </w:r>
          </w:p>
        </w:tc>
        <w:tc>
          <w:tcPr>
            <w:tcW w:w="727" w:type="pct"/>
            <w:tcBorders>
              <w:top w:val="nil"/>
              <w:left w:val="nil"/>
              <w:bottom w:val="nil"/>
              <w:right w:val="nil"/>
            </w:tcBorders>
            <w:shd w:val="clear" w:color="auto" w:fill="auto"/>
            <w:vAlign w:val="bottom"/>
            <w:hideMark/>
          </w:tcPr>
          <w:p w:rsidR="007E6862" w:rsidRPr="00BE0331" w:rsidRDefault="007E6862" w:rsidP="00824C7A">
            <w:pPr>
              <w:pStyle w:val="Tablebold"/>
              <w:jc w:val="center"/>
            </w:pPr>
            <w:r w:rsidRPr="00BE0331">
              <w:t>[95% CI]</w:t>
            </w:r>
          </w:p>
        </w:tc>
        <w:tc>
          <w:tcPr>
            <w:tcW w:w="237" w:type="pct"/>
            <w:tcBorders>
              <w:top w:val="nil"/>
              <w:left w:val="nil"/>
              <w:bottom w:val="nil"/>
              <w:right w:val="single" w:sz="4" w:space="0" w:color="auto"/>
            </w:tcBorders>
            <w:shd w:val="clear" w:color="auto" w:fill="auto"/>
            <w:hideMark/>
          </w:tcPr>
          <w:p w:rsidR="007E6862" w:rsidRPr="00BE0331" w:rsidRDefault="007E6862" w:rsidP="00824C7A">
            <w:pPr>
              <w:pStyle w:val="Tablebold"/>
              <w:jc w:val="center"/>
              <w:rPr>
                <w:i/>
                <w:iCs/>
              </w:rPr>
            </w:pPr>
            <w:r w:rsidRPr="00BE0331">
              <w:rPr>
                <w:i/>
                <w:iCs/>
              </w:rPr>
              <w:t>p</w:t>
            </w:r>
          </w:p>
        </w:tc>
      </w:tr>
      <w:tr w:rsidR="007E6862" w:rsidRPr="00BE0331" w:rsidTr="00824C7A">
        <w:trPr>
          <w:trHeight w:val="270"/>
          <w:tblHeader/>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bold"/>
            </w:pPr>
            <w:r w:rsidRPr="00BE0331">
              <w:t>Predictors</w:t>
            </w:r>
          </w:p>
        </w:tc>
        <w:tc>
          <w:tcPr>
            <w:tcW w:w="1077" w:type="pct"/>
            <w:gridSpan w:val="3"/>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r w:rsidRPr="00BE0331">
              <w:t xml:space="preserve">Asymmetric </w:t>
            </w:r>
            <w:proofErr w:type="spellStart"/>
            <w:r w:rsidRPr="00BE0331">
              <w:t>Dimethylarginine</w:t>
            </w:r>
            <w:proofErr w:type="spellEnd"/>
          </w:p>
        </w:tc>
        <w:tc>
          <w:tcPr>
            <w:tcW w:w="977" w:type="pct"/>
            <w:gridSpan w:val="3"/>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r w:rsidRPr="00BE0331">
              <w:t xml:space="preserve">Symmetric </w:t>
            </w:r>
            <w:proofErr w:type="spellStart"/>
            <w:r w:rsidRPr="00BE0331">
              <w:t>Dimethylarginine</w:t>
            </w:r>
            <w:proofErr w:type="spellEnd"/>
          </w:p>
        </w:tc>
        <w:tc>
          <w:tcPr>
            <w:tcW w:w="1188" w:type="pct"/>
            <w:gridSpan w:val="3"/>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r w:rsidRPr="00BE0331">
              <w:t>L-Arginine</w:t>
            </w:r>
          </w:p>
        </w:tc>
        <w:tc>
          <w:tcPr>
            <w:tcW w:w="1188" w:type="pct"/>
            <w:gridSpan w:val="3"/>
            <w:tcBorders>
              <w:top w:val="nil"/>
              <w:left w:val="nil"/>
              <w:bottom w:val="nil"/>
              <w:right w:val="single" w:sz="4" w:space="0" w:color="000000"/>
            </w:tcBorders>
            <w:shd w:val="clear" w:color="auto" w:fill="auto"/>
            <w:noWrap/>
            <w:vAlign w:val="bottom"/>
            <w:hideMark/>
          </w:tcPr>
          <w:p w:rsidR="007E6862" w:rsidRPr="00BE0331" w:rsidRDefault="007E6862" w:rsidP="00824C7A">
            <w:pPr>
              <w:pStyle w:val="Tablebold"/>
              <w:jc w:val="center"/>
            </w:pPr>
            <w:r w:rsidRPr="00BE0331">
              <w:t>L-arginine/ADMA ratio</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text"/>
            </w:pPr>
            <w:r w:rsidRPr="00BE0331">
              <w:t>Q1</w:t>
            </w:r>
          </w:p>
        </w:tc>
        <w:tc>
          <w:tcPr>
            <w:tcW w:w="1077" w:type="pct"/>
            <w:gridSpan w:val="3"/>
            <w:tcBorders>
              <w:top w:val="nil"/>
              <w:left w:val="nil"/>
              <w:bottom w:val="nil"/>
              <w:right w:val="nil"/>
            </w:tcBorders>
            <w:shd w:val="clear" w:color="auto" w:fill="auto"/>
            <w:noWrap/>
            <w:vAlign w:val="bottom"/>
            <w:hideMark/>
          </w:tcPr>
          <w:p w:rsidR="007E6862" w:rsidRPr="00BE0331" w:rsidRDefault="007E6862" w:rsidP="00824C7A">
            <w:pPr>
              <w:pStyle w:val="Tabletext"/>
            </w:pPr>
            <w:r w:rsidRPr="00BE0331">
              <w:t>Ref</w:t>
            </w:r>
          </w:p>
        </w:tc>
        <w:tc>
          <w:tcPr>
            <w:tcW w:w="977" w:type="pct"/>
            <w:gridSpan w:val="3"/>
            <w:tcBorders>
              <w:top w:val="nil"/>
              <w:left w:val="nil"/>
              <w:bottom w:val="nil"/>
              <w:right w:val="nil"/>
            </w:tcBorders>
            <w:shd w:val="clear" w:color="auto" w:fill="auto"/>
            <w:noWrap/>
            <w:vAlign w:val="bottom"/>
            <w:hideMark/>
          </w:tcPr>
          <w:p w:rsidR="007E6862" w:rsidRPr="00BE0331" w:rsidRDefault="007E6862" w:rsidP="00824C7A">
            <w:pPr>
              <w:pStyle w:val="Tabletext"/>
            </w:pPr>
            <w:r w:rsidRPr="00BE0331">
              <w:t>Ref</w:t>
            </w:r>
          </w:p>
        </w:tc>
        <w:tc>
          <w:tcPr>
            <w:tcW w:w="1188" w:type="pct"/>
            <w:gridSpan w:val="3"/>
            <w:tcBorders>
              <w:top w:val="nil"/>
              <w:left w:val="nil"/>
              <w:bottom w:val="nil"/>
              <w:right w:val="nil"/>
            </w:tcBorders>
            <w:shd w:val="clear" w:color="auto" w:fill="auto"/>
            <w:noWrap/>
            <w:vAlign w:val="bottom"/>
            <w:hideMark/>
          </w:tcPr>
          <w:p w:rsidR="007E6862" w:rsidRPr="00BE0331" w:rsidRDefault="007E6862" w:rsidP="00824C7A">
            <w:pPr>
              <w:pStyle w:val="Tabletext"/>
            </w:pPr>
            <w:r w:rsidRPr="00BE0331">
              <w:t>Ref</w:t>
            </w:r>
          </w:p>
        </w:tc>
        <w:tc>
          <w:tcPr>
            <w:tcW w:w="1188" w:type="pct"/>
            <w:gridSpan w:val="3"/>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pPr>
            <w:r w:rsidRPr="00BE0331">
              <w:t>Ref</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text"/>
            </w:pPr>
            <w:r w:rsidRPr="00BE0331">
              <w:t>Q2</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-2.89</w:t>
            </w: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(-6.17,</w:t>
            </w:r>
            <w:r>
              <w:t xml:space="preserve"> </w:t>
            </w:r>
            <w:r w:rsidRPr="00BE0331">
              <w:t>0.399)</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0.085</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1.503</w:t>
            </w: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(-1.707,</w:t>
            </w:r>
            <w:r>
              <w:t xml:space="preserve"> </w:t>
            </w:r>
            <w:r w:rsidRPr="00BE0331">
              <w:t>4.713)</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0.358</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0.885</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(-2.52,</w:t>
            </w:r>
            <w:r>
              <w:t xml:space="preserve"> </w:t>
            </w:r>
            <w:r w:rsidRPr="00BE0331">
              <w:t>4.29)</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0.61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1.508</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(-1.999,</w:t>
            </w:r>
            <w:r>
              <w:t xml:space="preserve"> </w:t>
            </w:r>
            <w:r w:rsidRPr="00BE0331">
              <w:t>5.016)</w:t>
            </w:r>
          </w:p>
        </w:tc>
        <w:tc>
          <w:tcPr>
            <w:tcW w:w="237" w:type="pct"/>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jc w:val="center"/>
            </w:pPr>
            <w:r w:rsidRPr="00BE0331">
              <w:t>0.398</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text"/>
            </w:pPr>
            <w:r w:rsidRPr="00BE0331">
              <w:t>Q3</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-3.33</w:t>
            </w: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(-6.7,</w:t>
            </w:r>
            <w:r>
              <w:t xml:space="preserve"> </w:t>
            </w:r>
            <w:r w:rsidRPr="00BE0331">
              <w:t>0.035)</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0.052</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0.406</w:t>
            </w: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(-3.202,</w:t>
            </w:r>
            <w:r>
              <w:t xml:space="preserve"> </w:t>
            </w:r>
            <w:r w:rsidRPr="00BE0331">
              <w:t>4.014)</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0.825</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1.033</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(-2.344,</w:t>
            </w:r>
            <w:r>
              <w:t xml:space="preserve"> </w:t>
            </w:r>
            <w:r w:rsidRPr="00BE0331">
              <w:t>4.41)</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0.548</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2.022</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(-1.355,</w:t>
            </w:r>
            <w:r>
              <w:t xml:space="preserve"> </w:t>
            </w:r>
            <w:r w:rsidRPr="00BE0331">
              <w:t>5.399)</w:t>
            </w:r>
          </w:p>
        </w:tc>
        <w:tc>
          <w:tcPr>
            <w:tcW w:w="237" w:type="pct"/>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jc w:val="center"/>
            </w:pPr>
            <w:r w:rsidRPr="00BE0331">
              <w:t>0.24</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text"/>
            </w:pPr>
            <w:r w:rsidRPr="00BE0331">
              <w:t>Q4</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-2.5</w:t>
            </w: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(-6.07,</w:t>
            </w:r>
            <w:r>
              <w:t xml:space="preserve"> </w:t>
            </w:r>
            <w:r w:rsidRPr="00BE0331">
              <w:t>1.078)</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0.171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0.307</w:t>
            </w: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(-3.087,</w:t>
            </w:r>
            <w:r>
              <w:t xml:space="preserve"> </w:t>
            </w:r>
            <w:r w:rsidRPr="00BE0331">
              <w:t>3.7)</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0.859</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2.962</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(-0.471,</w:t>
            </w:r>
            <w:r>
              <w:t xml:space="preserve"> </w:t>
            </w:r>
            <w:r w:rsidRPr="00BE0331">
              <w:t>6.396)</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0.091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4.051</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(0.659,</w:t>
            </w:r>
            <w:r>
              <w:t xml:space="preserve"> </w:t>
            </w:r>
            <w:r w:rsidRPr="00BE0331">
              <w:t>7.443)</w:t>
            </w:r>
          </w:p>
        </w:tc>
        <w:tc>
          <w:tcPr>
            <w:tcW w:w="237" w:type="pct"/>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bold"/>
              <w:jc w:val="center"/>
            </w:pPr>
            <w:r w:rsidRPr="00BE0331">
              <w:t>0.019</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bold"/>
            </w:pPr>
            <w:r w:rsidRPr="00BE0331">
              <w:t>Gender</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237" w:type="pct"/>
            <w:tcBorders>
              <w:top w:val="nil"/>
              <w:left w:val="nil"/>
              <w:bottom w:val="nil"/>
              <w:right w:val="nil"/>
            </w:tcBorders>
            <w:shd w:val="clear" w:color="auto" w:fill="auto"/>
            <w:noWrap/>
            <w:hideMark/>
          </w:tcPr>
          <w:p w:rsidR="007E6862" w:rsidRPr="00BE0331" w:rsidRDefault="007E6862" w:rsidP="00824C7A">
            <w:pPr>
              <w:pStyle w:val="Tablebold"/>
              <w:jc w:val="center"/>
            </w:pP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237" w:type="pct"/>
            <w:tcBorders>
              <w:top w:val="nil"/>
              <w:left w:val="nil"/>
              <w:bottom w:val="nil"/>
              <w:right w:val="nil"/>
            </w:tcBorders>
            <w:shd w:val="clear" w:color="auto" w:fill="auto"/>
            <w:noWrap/>
            <w:hideMark/>
          </w:tcPr>
          <w:p w:rsidR="007E6862" w:rsidRPr="00BE0331" w:rsidRDefault="007E6862" w:rsidP="00824C7A">
            <w:pPr>
              <w:pStyle w:val="Tablebold"/>
              <w:jc w:val="center"/>
            </w:pP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237" w:type="pct"/>
            <w:tcBorders>
              <w:top w:val="nil"/>
              <w:left w:val="nil"/>
              <w:bottom w:val="nil"/>
              <w:right w:val="nil"/>
            </w:tcBorders>
            <w:shd w:val="clear" w:color="auto" w:fill="auto"/>
            <w:noWrap/>
            <w:hideMark/>
          </w:tcPr>
          <w:p w:rsidR="007E6862" w:rsidRPr="00BE0331" w:rsidRDefault="007E6862" w:rsidP="00824C7A">
            <w:pPr>
              <w:pStyle w:val="Tablebold"/>
              <w:jc w:val="center"/>
            </w:pP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bold"/>
              <w:jc w:val="center"/>
            </w:pPr>
          </w:p>
        </w:tc>
        <w:tc>
          <w:tcPr>
            <w:tcW w:w="237" w:type="pct"/>
            <w:tcBorders>
              <w:top w:val="nil"/>
              <w:left w:val="nil"/>
              <w:bottom w:val="nil"/>
              <w:right w:val="single" w:sz="4" w:space="0" w:color="auto"/>
            </w:tcBorders>
            <w:shd w:val="clear" w:color="auto" w:fill="auto"/>
            <w:noWrap/>
            <w:hideMark/>
          </w:tcPr>
          <w:p w:rsidR="007E6862" w:rsidRPr="00BE0331" w:rsidRDefault="007E6862" w:rsidP="00824C7A">
            <w:pPr>
              <w:pStyle w:val="Tablebold"/>
              <w:jc w:val="center"/>
            </w:pP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text"/>
            </w:pPr>
            <w:r w:rsidRPr="00BE0331">
              <w:t>Female</w:t>
            </w:r>
          </w:p>
        </w:tc>
        <w:tc>
          <w:tcPr>
            <w:tcW w:w="1077" w:type="pct"/>
            <w:gridSpan w:val="3"/>
            <w:tcBorders>
              <w:top w:val="nil"/>
              <w:left w:val="nil"/>
              <w:bottom w:val="nil"/>
              <w:right w:val="nil"/>
            </w:tcBorders>
            <w:shd w:val="clear" w:color="auto" w:fill="auto"/>
            <w:noWrap/>
            <w:vAlign w:val="bottom"/>
            <w:hideMark/>
          </w:tcPr>
          <w:p w:rsidR="007E6862" w:rsidRPr="00BE0331" w:rsidRDefault="007E6862" w:rsidP="00824C7A">
            <w:pPr>
              <w:pStyle w:val="Tabletext"/>
            </w:pPr>
            <w:r w:rsidRPr="00BE0331">
              <w:t>Ref</w:t>
            </w:r>
          </w:p>
        </w:tc>
        <w:tc>
          <w:tcPr>
            <w:tcW w:w="977" w:type="pct"/>
            <w:gridSpan w:val="3"/>
            <w:tcBorders>
              <w:top w:val="nil"/>
              <w:left w:val="nil"/>
              <w:bottom w:val="nil"/>
              <w:right w:val="nil"/>
            </w:tcBorders>
            <w:shd w:val="clear" w:color="auto" w:fill="auto"/>
            <w:noWrap/>
            <w:vAlign w:val="bottom"/>
            <w:hideMark/>
          </w:tcPr>
          <w:p w:rsidR="007E6862" w:rsidRPr="00BE0331" w:rsidRDefault="007E6862" w:rsidP="00824C7A">
            <w:pPr>
              <w:pStyle w:val="Tabletext"/>
            </w:pPr>
            <w:r w:rsidRPr="00BE0331">
              <w:t>Ref</w:t>
            </w:r>
          </w:p>
        </w:tc>
        <w:tc>
          <w:tcPr>
            <w:tcW w:w="1188" w:type="pct"/>
            <w:gridSpan w:val="3"/>
            <w:tcBorders>
              <w:top w:val="nil"/>
              <w:left w:val="nil"/>
              <w:bottom w:val="nil"/>
              <w:right w:val="nil"/>
            </w:tcBorders>
            <w:shd w:val="clear" w:color="auto" w:fill="auto"/>
            <w:noWrap/>
            <w:vAlign w:val="bottom"/>
            <w:hideMark/>
          </w:tcPr>
          <w:p w:rsidR="007E6862" w:rsidRPr="00BE0331" w:rsidRDefault="007E6862" w:rsidP="00824C7A">
            <w:pPr>
              <w:pStyle w:val="Tabletext"/>
            </w:pPr>
            <w:r w:rsidRPr="00BE0331">
              <w:t>Ref</w:t>
            </w:r>
          </w:p>
        </w:tc>
        <w:tc>
          <w:tcPr>
            <w:tcW w:w="1188" w:type="pct"/>
            <w:gridSpan w:val="3"/>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pPr>
            <w:r w:rsidRPr="00BE0331">
              <w:t>Ref </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text"/>
            </w:pPr>
            <w:r w:rsidRPr="00BE0331">
              <w:t xml:space="preserve">Male </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-5.92</w:t>
            </w: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(-8.53,</w:t>
            </w:r>
            <w:r>
              <w:t xml:space="preserve"> </w:t>
            </w:r>
            <w:r w:rsidRPr="00BE0331">
              <w:t>-3.3)</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-5.5</w:t>
            </w: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(-8.171,</w:t>
            </w:r>
            <w:r>
              <w:t xml:space="preserve"> </w:t>
            </w:r>
            <w:r w:rsidRPr="00BE0331">
              <w:t>-2.834)</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-5.77</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(-8.339,</w:t>
            </w:r>
            <w:r>
              <w:t xml:space="preserve"> </w:t>
            </w:r>
            <w:r w:rsidRPr="00BE0331">
              <w:t>-3.197)</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-6.02</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(-8.615,</w:t>
            </w:r>
            <w:r>
              <w:t xml:space="preserve"> </w:t>
            </w:r>
            <w:r w:rsidRPr="00BE0331">
              <w:t>-3.423)</w:t>
            </w:r>
          </w:p>
        </w:tc>
        <w:tc>
          <w:tcPr>
            <w:tcW w:w="237" w:type="pct"/>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jc w:val="center"/>
            </w:pPr>
            <w:r w:rsidRPr="00BE0331">
              <w:t>&lt;0.001</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bold"/>
            </w:pPr>
            <w:r w:rsidRPr="00BE0331">
              <w:t>Smoking years</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-0.168</w:t>
            </w: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(-0.264,</w:t>
            </w:r>
            <w:r>
              <w:t xml:space="preserve"> </w:t>
            </w:r>
            <w:r w:rsidRPr="00BE0331">
              <w:t>-0.072)</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-0.180</w:t>
            </w: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(-0.277,</w:t>
            </w:r>
            <w:r>
              <w:t xml:space="preserve"> </w:t>
            </w:r>
            <w:r w:rsidRPr="00BE0331">
              <w:t>-0.083)</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-0.178</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(-0.274,</w:t>
            </w:r>
            <w:r>
              <w:t xml:space="preserve"> </w:t>
            </w:r>
            <w:r w:rsidRPr="00BE0331">
              <w:t>-0.082)</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-0.175</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(-0.271,</w:t>
            </w:r>
            <w:r>
              <w:t xml:space="preserve"> </w:t>
            </w:r>
            <w:r w:rsidRPr="00BE0331">
              <w:t>-0.079)</w:t>
            </w:r>
          </w:p>
        </w:tc>
        <w:tc>
          <w:tcPr>
            <w:tcW w:w="237" w:type="pct"/>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jc w:val="center"/>
            </w:pPr>
            <w:r w:rsidRPr="00BE0331">
              <w:t>&lt;0.001</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bold"/>
            </w:pPr>
            <w:r w:rsidRPr="00BE0331">
              <w:t>Body mass index</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-0.69</w:t>
            </w: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(-0.95,</w:t>
            </w:r>
            <w:r>
              <w:t xml:space="preserve"> </w:t>
            </w:r>
            <w:r w:rsidRPr="00BE0331">
              <w:t>-0.43)</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-0.71</w:t>
            </w: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(-0.982,</w:t>
            </w:r>
            <w:r>
              <w:t xml:space="preserve"> </w:t>
            </w:r>
            <w:r w:rsidRPr="00BE0331">
              <w:t>-0.431)</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-0.71</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(-0.972,</w:t>
            </w:r>
            <w:r>
              <w:t xml:space="preserve"> </w:t>
            </w:r>
            <w:r w:rsidRPr="00BE0331">
              <w:t>-0.44)</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-0.69</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(-0.953,</w:t>
            </w:r>
            <w:r>
              <w:t xml:space="preserve"> </w:t>
            </w:r>
            <w:r w:rsidRPr="00BE0331">
              <w:t>-0.424)</w:t>
            </w:r>
          </w:p>
        </w:tc>
        <w:tc>
          <w:tcPr>
            <w:tcW w:w="237" w:type="pct"/>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jc w:val="center"/>
            </w:pPr>
            <w:r w:rsidRPr="00BE0331">
              <w:t>&lt;0.001</w:t>
            </w:r>
          </w:p>
        </w:tc>
      </w:tr>
      <w:tr w:rsidR="007E6862" w:rsidRPr="00BE0331" w:rsidTr="00824C7A">
        <w:trPr>
          <w:trHeight w:val="255"/>
        </w:trPr>
        <w:tc>
          <w:tcPr>
            <w:tcW w:w="571" w:type="pct"/>
            <w:tcBorders>
              <w:top w:val="nil"/>
              <w:left w:val="single" w:sz="4" w:space="0" w:color="auto"/>
              <w:bottom w:val="nil"/>
              <w:right w:val="nil"/>
            </w:tcBorders>
            <w:shd w:val="clear" w:color="auto" w:fill="auto"/>
            <w:noWrap/>
            <w:vAlign w:val="bottom"/>
            <w:hideMark/>
          </w:tcPr>
          <w:p w:rsidR="007E6862" w:rsidRPr="00BE0331" w:rsidRDefault="007E6862" w:rsidP="00824C7A">
            <w:pPr>
              <w:pStyle w:val="Tablebold"/>
            </w:pPr>
            <w:r w:rsidRPr="00BE0331">
              <w:t>Fibrinogen</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-4.77</w:t>
            </w:r>
          </w:p>
        </w:tc>
        <w:tc>
          <w:tcPr>
            <w:tcW w:w="6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(-7.13,</w:t>
            </w:r>
            <w:r>
              <w:t xml:space="preserve"> </w:t>
            </w:r>
            <w:r w:rsidRPr="00BE0331">
              <w:t>-2.41)</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-4.82</w:t>
            </w:r>
          </w:p>
        </w:tc>
        <w:tc>
          <w:tcPr>
            <w:tcW w:w="516"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(-7.165,</w:t>
            </w:r>
            <w:r>
              <w:t xml:space="preserve"> </w:t>
            </w:r>
            <w:r w:rsidRPr="00BE0331">
              <w:t>-2.474)</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-4.73</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(-7.052,</w:t>
            </w:r>
            <w:r>
              <w:t xml:space="preserve"> </w:t>
            </w:r>
            <w:r w:rsidRPr="00BE0331">
              <w:t>-2.413)</w:t>
            </w:r>
          </w:p>
        </w:tc>
        <w:tc>
          <w:tcPr>
            <w:tcW w:w="23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&lt;0.001</w:t>
            </w:r>
          </w:p>
        </w:tc>
        <w:tc>
          <w:tcPr>
            <w:tcW w:w="224"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-4.76</w:t>
            </w:r>
          </w:p>
        </w:tc>
        <w:tc>
          <w:tcPr>
            <w:tcW w:w="727" w:type="pct"/>
            <w:tcBorders>
              <w:top w:val="nil"/>
              <w:left w:val="nil"/>
              <w:bottom w:val="nil"/>
              <w:right w:val="nil"/>
            </w:tcBorders>
            <w:shd w:val="clear" w:color="auto" w:fill="auto"/>
            <w:noWrap/>
            <w:vAlign w:val="bottom"/>
            <w:hideMark/>
          </w:tcPr>
          <w:p w:rsidR="007E6862" w:rsidRPr="00BE0331" w:rsidRDefault="007E6862" w:rsidP="00824C7A">
            <w:pPr>
              <w:pStyle w:val="Tabletext"/>
              <w:jc w:val="center"/>
            </w:pPr>
            <w:r w:rsidRPr="00BE0331">
              <w:t>(-7.057,</w:t>
            </w:r>
            <w:r>
              <w:t xml:space="preserve"> </w:t>
            </w:r>
            <w:r w:rsidRPr="00BE0331">
              <w:t>-2.453)</w:t>
            </w:r>
          </w:p>
        </w:tc>
        <w:tc>
          <w:tcPr>
            <w:tcW w:w="237" w:type="pct"/>
            <w:tcBorders>
              <w:top w:val="nil"/>
              <w:left w:val="nil"/>
              <w:bottom w:val="nil"/>
              <w:right w:val="single" w:sz="4" w:space="0" w:color="auto"/>
            </w:tcBorders>
            <w:shd w:val="clear" w:color="auto" w:fill="auto"/>
            <w:noWrap/>
            <w:vAlign w:val="bottom"/>
            <w:hideMark/>
          </w:tcPr>
          <w:p w:rsidR="007E6862" w:rsidRPr="00BE0331" w:rsidRDefault="007E6862" w:rsidP="00824C7A">
            <w:pPr>
              <w:pStyle w:val="Tabletext"/>
              <w:jc w:val="center"/>
            </w:pPr>
            <w:r w:rsidRPr="00BE0331">
              <w:t>&lt;0.001</w:t>
            </w:r>
          </w:p>
        </w:tc>
      </w:tr>
      <w:tr w:rsidR="007E6862" w:rsidRPr="00BE0331" w:rsidTr="00824C7A">
        <w:trPr>
          <w:trHeight w:val="255"/>
        </w:trPr>
        <w:tc>
          <w:tcPr>
            <w:tcW w:w="571" w:type="pct"/>
            <w:tcBorders>
              <w:top w:val="nil"/>
              <w:left w:val="single" w:sz="4" w:space="0" w:color="auto"/>
              <w:bottom w:val="single" w:sz="4" w:space="0" w:color="auto"/>
              <w:right w:val="nil"/>
            </w:tcBorders>
            <w:shd w:val="clear" w:color="auto" w:fill="auto"/>
            <w:noWrap/>
            <w:vAlign w:val="bottom"/>
            <w:hideMark/>
          </w:tcPr>
          <w:p w:rsidR="007E6862" w:rsidRPr="00BE0331" w:rsidRDefault="007E6862" w:rsidP="00824C7A">
            <w:pPr>
              <w:pStyle w:val="Tablebold"/>
            </w:pPr>
            <w:r w:rsidRPr="00BE0331">
              <w:t>Adjusted R-squared</w:t>
            </w:r>
          </w:p>
        </w:tc>
        <w:tc>
          <w:tcPr>
            <w:tcW w:w="224"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r w:rsidRPr="00BE0331">
              <w:rPr>
                <w:bCs/>
                <w:szCs w:val="18"/>
              </w:rPr>
              <w:t>18.09</w:t>
            </w:r>
          </w:p>
        </w:tc>
        <w:tc>
          <w:tcPr>
            <w:tcW w:w="616"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p>
        </w:tc>
        <w:tc>
          <w:tcPr>
            <w:tcW w:w="237"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p>
        </w:tc>
        <w:tc>
          <w:tcPr>
            <w:tcW w:w="224"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r w:rsidRPr="00BE0331">
              <w:rPr>
                <w:bCs/>
                <w:szCs w:val="18"/>
              </w:rPr>
              <w:t>17.49</w:t>
            </w:r>
          </w:p>
        </w:tc>
        <w:tc>
          <w:tcPr>
            <w:tcW w:w="516"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p>
        </w:tc>
        <w:tc>
          <w:tcPr>
            <w:tcW w:w="237"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p>
        </w:tc>
        <w:tc>
          <w:tcPr>
            <w:tcW w:w="224"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r w:rsidRPr="00BE0331">
              <w:rPr>
                <w:bCs/>
                <w:szCs w:val="18"/>
              </w:rPr>
              <w:t>17.87</w:t>
            </w:r>
          </w:p>
        </w:tc>
        <w:tc>
          <w:tcPr>
            <w:tcW w:w="727"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p>
        </w:tc>
        <w:tc>
          <w:tcPr>
            <w:tcW w:w="237"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p>
        </w:tc>
        <w:tc>
          <w:tcPr>
            <w:tcW w:w="224"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bCs/>
                <w:szCs w:val="18"/>
              </w:rPr>
            </w:pPr>
            <w:r w:rsidRPr="00BE0331">
              <w:rPr>
                <w:bCs/>
                <w:szCs w:val="18"/>
              </w:rPr>
              <w:t>18.27</w:t>
            </w:r>
          </w:p>
        </w:tc>
        <w:tc>
          <w:tcPr>
            <w:tcW w:w="727" w:type="pct"/>
            <w:tcBorders>
              <w:top w:val="nil"/>
              <w:left w:val="nil"/>
              <w:bottom w:val="single" w:sz="4" w:space="0" w:color="auto"/>
              <w:right w:val="nil"/>
            </w:tcBorders>
            <w:shd w:val="clear" w:color="auto" w:fill="auto"/>
            <w:noWrap/>
            <w:vAlign w:val="bottom"/>
            <w:hideMark/>
          </w:tcPr>
          <w:p w:rsidR="007E6862" w:rsidRPr="00BE0331" w:rsidRDefault="007E6862" w:rsidP="00824C7A">
            <w:pPr>
              <w:pStyle w:val="Tablebold"/>
              <w:jc w:val="center"/>
              <w:rPr>
                <w:szCs w:val="18"/>
              </w:rPr>
            </w:pPr>
          </w:p>
        </w:tc>
        <w:tc>
          <w:tcPr>
            <w:tcW w:w="237" w:type="pct"/>
            <w:tcBorders>
              <w:top w:val="nil"/>
              <w:left w:val="nil"/>
              <w:bottom w:val="single" w:sz="4" w:space="0" w:color="auto"/>
              <w:right w:val="single" w:sz="4" w:space="0" w:color="auto"/>
            </w:tcBorders>
            <w:shd w:val="clear" w:color="auto" w:fill="auto"/>
            <w:noWrap/>
            <w:vAlign w:val="bottom"/>
            <w:hideMark/>
          </w:tcPr>
          <w:p w:rsidR="007E6862" w:rsidRPr="00BE0331" w:rsidRDefault="007E6862" w:rsidP="00824C7A">
            <w:pPr>
              <w:pStyle w:val="Tablebold"/>
              <w:jc w:val="center"/>
              <w:rPr>
                <w:szCs w:val="18"/>
              </w:rPr>
            </w:pPr>
          </w:p>
        </w:tc>
      </w:tr>
    </w:tbl>
    <w:p w:rsidR="00313D68" w:rsidRPr="00472178" w:rsidRDefault="00313D68" w:rsidP="00313D68">
      <w:pPr>
        <w:pStyle w:val="Tabletext"/>
        <w:rPr>
          <w:sz w:val="20"/>
          <w:szCs w:val="20"/>
        </w:rPr>
      </w:pPr>
      <w:r w:rsidRPr="00472178">
        <w:rPr>
          <w:sz w:val="20"/>
          <w:szCs w:val="20"/>
        </w:rPr>
        <w:t xml:space="preserve">Independent variables adjusted for based on p-value &lt; 0.20 are: </w:t>
      </w:r>
      <w:proofErr w:type="spellStart"/>
      <w:r w:rsidRPr="00472178">
        <w:rPr>
          <w:sz w:val="20"/>
          <w:szCs w:val="20"/>
        </w:rPr>
        <w:t>cesd</w:t>
      </w:r>
      <w:proofErr w:type="spellEnd"/>
      <w:r w:rsidRPr="00472178">
        <w:rPr>
          <w:sz w:val="20"/>
          <w:szCs w:val="20"/>
        </w:rPr>
        <w:t xml:space="preserve"> depressive symptoms score, gender, marital status, education, household income, body mass index, asthma, heart attack, atrial fibrillation, high cholesterol, hypertension, smoking years, alcoholic drink days per month, No. general practice visits, physical function score, urea, </w:t>
      </w:r>
      <w:proofErr w:type="spellStart"/>
      <w:r w:rsidRPr="00472178">
        <w:rPr>
          <w:sz w:val="20"/>
          <w:szCs w:val="20"/>
        </w:rPr>
        <w:t>urate</w:t>
      </w:r>
      <w:proofErr w:type="spellEnd"/>
      <w:r w:rsidRPr="00472178">
        <w:rPr>
          <w:sz w:val="20"/>
          <w:szCs w:val="20"/>
        </w:rPr>
        <w:t xml:space="preserve">, white blood cell count, fasting glucose, fibrinogen, </w:t>
      </w:r>
      <w:proofErr w:type="spellStart"/>
      <w:r w:rsidRPr="00472178">
        <w:rPr>
          <w:sz w:val="20"/>
          <w:szCs w:val="20"/>
        </w:rPr>
        <w:t>homocysteine</w:t>
      </w:r>
      <w:proofErr w:type="spellEnd"/>
      <w:r w:rsidRPr="00472178">
        <w:rPr>
          <w:sz w:val="20"/>
          <w:szCs w:val="20"/>
        </w:rPr>
        <w:t>, pulse pressure, C-reactive protein, cardiovascular medication use, anticholinergic medication use.</w:t>
      </w:r>
    </w:p>
    <w:p w:rsidR="00313D68" w:rsidRPr="00472178" w:rsidRDefault="00313D68" w:rsidP="00313D68">
      <w:pPr>
        <w:pStyle w:val="Tabletext"/>
        <w:rPr>
          <w:sz w:val="20"/>
          <w:szCs w:val="20"/>
        </w:rPr>
      </w:pPr>
      <w:r>
        <w:rPr>
          <w:sz w:val="20"/>
          <w:szCs w:val="20"/>
        </w:rPr>
        <w:t>* β -coefficient</w:t>
      </w:r>
      <w:r w:rsidRPr="00472178">
        <w:rPr>
          <w:sz w:val="20"/>
          <w:szCs w:val="20"/>
        </w:rPr>
        <w:t>; †95% confidence interval; ‡p-value</w:t>
      </w:r>
    </w:p>
    <w:p w:rsidR="00260312" w:rsidRDefault="00260312">
      <w:bookmarkStart w:id="0" w:name="_GoBack"/>
      <w:bookmarkEnd w:id="0"/>
    </w:p>
    <w:sectPr w:rsidR="00260312" w:rsidSect="00A95A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62"/>
    <w:rsid w:val="00260312"/>
    <w:rsid w:val="00313D68"/>
    <w:rsid w:val="007E6862"/>
    <w:rsid w:val="00A95A39"/>
    <w:rsid w:val="00EA3D30"/>
    <w:rsid w:val="00ED7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7E6862"/>
    <w:pPr>
      <w:spacing w:before="100" w:beforeAutospacing="1" w:after="100" w:afterAutospacing="1"/>
    </w:pPr>
    <w:rPr>
      <w:rFonts w:ascii="Arial Narrow" w:hAnsi="Arial Narrow"/>
      <w:sz w:val="18"/>
      <w:lang w:eastAsia="en-AU"/>
    </w:rPr>
  </w:style>
  <w:style w:type="paragraph" w:customStyle="1" w:styleId="Tablebold">
    <w:name w:val="Table bold"/>
    <w:basedOn w:val="Tabletext"/>
    <w:qFormat/>
    <w:rsid w:val="007E686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7E6862"/>
    <w:pPr>
      <w:spacing w:before="100" w:beforeAutospacing="1" w:after="100" w:afterAutospacing="1"/>
    </w:pPr>
    <w:rPr>
      <w:rFonts w:ascii="Arial Narrow" w:hAnsi="Arial Narrow"/>
      <w:sz w:val="18"/>
      <w:lang w:eastAsia="en-AU"/>
    </w:rPr>
  </w:style>
  <w:style w:type="paragraph" w:customStyle="1" w:styleId="Tablebold">
    <w:name w:val="Table bold"/>
    <w:basedOn w:val="Tabletext"/>
    <w:qFormat/>
    <w:rsid w:val="007E68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Roseanne Peel</dc:creator>
  <cp:lastModifiedBy>Roseanne Peel</cp:lastModifiedBy>
  <cp:revision>5</cp:revision>
  <dcterms:created xsi:type="dcterms:W3CDTF">2013-04-22T00:17:00Z</dcterms:created>
  <dcterms:modified xsi:type="dcterms:W3CDTF">2013-04-22T00:22:00Z</dcterms:modified>
</cp:coreProperties>
</file>