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110E1" w14:textId="77777777" w:rsidR="00B97076" w:rsidRPr="00381AF1" w:rsidRDefault="00B97076" w:rsidP="00534117">
      <w:pPr>
        <w:spacing w:line="480" w:lineRule="auto"/>
        <w:rPr>
          <w:b/>
          <w:sz w:val="24"/>
          <w:szCs w:val="24"/>
        </w:rPr>
      </w:pPr>
      <w:r w:rsidRPr="00381AF1">
        <w:rPr>
          <w:b/>
          <w:iCs/>
          <w:sz w:val="24"/>
          <w:szCs w:val="24"/>
        </w:rPr>
        <w:t>Supplementary information, Appendix.</w:t>
      </w:r>
    </w:p>
    <w:p w14:paraId="2B81877E" w14:textId="14EC7245" w:rsidR="00B97076" w:rsidRPr="00381AF1" w:rsidRDefault="00B97076" w:rsidP="00534117">
      <w:pPr>
        <w:spacing w:line="480" w:lineRule="auto"/>
        <w:rPr>
          <w:sz w:val="24"/>
          <w:szCs w:val="24"/>
        </w:rPr>
      </w:pPr>
      <w:r w:rsidRPr="00381AF1">
        <w:rPr>
          <w:sz w:val="24"/>
          <w:szCs w:val="24"/>
        </w:rPr>
        <w:t>Character Descriptions. Further discussion and illustrations of characters is provided elsewhere</w:t>
      </w:r>
      <w:r w:rsidR="008121FC">
        <w:rPr>
          <w:sz w:val="24"/>
          <w:szCs w:val="24"/>
        </w:rPr>
        <w:t xml:space="preserve"> </w:t>
      </w:r>
      <w:r w:rsidR="00534117">
        <w:rPr>
          <w:sz w:val="24"/>
          <w:szCs w:val="24"/>
        </w:rPr>
        <w:fldChar w:fldCharType="begin"/>
      </w:r>
      <w:r w:rsidR="00534117">
        <w:rPr>
          <w:sz w:val="24"/>
          <w:szCs w:val="24"/>
        </w:rPr>
        <w:instrText xml:space="preserve"> ADDIN EN.CITE &lt;EndNote&gt;&lt;Cite&gt;&lt;Author&gt;Werdelin&lt;/Author&gt;&lt;Year&gt;2010&lt;/Year&gt;&lt;RecNum&gt;24290&lt;/RecNum&gt;&lt;DisplayText&gt;[1,2]&lt;/DisplayText&gt;&lt;record&gt;&lt;rec-number&gt;24290&lt;/rec-number&gt;&lt;foreign-keys&gt;&lt;key app="EN" db-id="z0d5wxxfj0aaaie2pafvzvp1ex0zr2dvaaxz"&gt;24290&lt;/key&gt;&lt;/foreign-keys&gt;&lt;ref-type name="Book Section"&gt;5&lt;/ref-type&gt;&lt;contributors&gt;&lt;authors&gt;&lt;author&gt;Werdelin, L.&lt;/author&gt;&lt;author&gt;Wesley-Hunt, G.D.&lt;/author&gt;&lt;/authors&gt;&lt;secondary-authors&gt;&lt;author&gt;Goswami, A.&lt;/author&gt;&lt;author&gt;Friscia, A.&lt;/author&gt;&lt;/secondary-authors&gt;&lt;/contributors&gt;&lt;titles&gt;&lt;title&gt;The biogeography of carnivore ecomorphology&lt;/title&gt;&lt;secondary-title&gt;Carnivoran Evolution: New Views on Phylogeny, Form, and Function&lt;/secondary-title&gt;&lt;/titles&gt;&lt;pages&gt;225-245&lt;/pages&gt;&lt;dates&gt;&lt;year&gt;2010&lt;/year&gt;&lt;/dates&gt;&lt;pub-location&gt;Cambridge&lt;/pub-location&gt;&lt;publisher&gt;Cambridge University Press&lt;/publisher&gt;&lt;urls&gt;&lt;/urls&gt;&lt;/record&gt;&lt;/Cite&gt;&lt;Cite&gt;&lt;Author&gt;Wesley-Hunt&lt;/Author&gt;&lt;Year&gt;2005&lt;/Year&gt;&lt;RecNum&gt;18296&lt;/RecNum&gt;&lt;record&gt;&lt;rec-number&gt;18296&lt;/rec-number&gt;&lt;foreign-keys&gt;&lt;key app="EN" db-id="z0d5wxxfj0aaaie2pafvzvp1ex0zr2dvaaxz"&gt;18296&lt;/key&gt;&lt;/foreign-keys&gt;&lt;ref-type name="Journal Article"&gt;17&lt;/ref-type&gt;&lt;contributors&gt;&lt;authors&gt;&lt;author&gt;Wesley-Hunt, G.D.&lt;/author&gt;&lt;/authors&gt;&lt;/contributors&gt;&lt;titles&gt;&lt;title&gt;The morphological diversification of carnivores in North America&lt;/title&gt;&lt;secondary-title&gt;Paleobiology&lt;/secondary-title&gt;&lt;/titles&gt;&lt;periodical&gt;&lt;full-title&gt;Paleobiology&lt;/full-title&gt;&lt;/periodical&gt;&lt;pages&gt;35-55&lt;/pages&gt;&lt;volume&gt;31&lt;/volume&gt;&lt;dates&gt;&lt;year&gt;2005&lt;/year&gt;&lt;/dates&gt;&lt;urls&gt;&lt;/urls&gt;&lt;/record&gt;&lt;/Cite&gt;&lt;/EndNote&gt;</w:instrText>
      </w:r>
      <w:r w:rsidR="00534117">
        <w:rPr>
          <w:sz w:val="24"/>
          <w:szCs w:val="24"/>
        </w:rPr>
        <w:fldChar w:fldCharType="separate"/>
      </w:r>
      <w:r w:rsidR="00534117">
        <w:rPr>
          <w:noProof/>
          <w:sz w:val="24"/>
          <w:szCs w:val="24"/>
        </w:rPr>
        <w:t>[</w:t>
      </w:r>
      <w:hyperlink w:anchor="_ENREF_1" w:tooltip="Werdelin, 2010 #24290" w:history="1">
        <w:r w:rsidR="00534117">
          <w:rPr>
            <w:noProof/>
            <w:sz w:val="24"/>
            <w:szCs w:val="24"/>
          </w:rPr>
          <w:t>1</w:t>
        </w:r>
      </w:hyperlink>
      <w:r w:rsidR="00534117">
        <w:rPr>
          <w:noProof/>
          <w:sz w:val="24"/>
          <w:szCs w:val="24"/>
        </w:rPr>
        <w:t>,</w:t>
      </w:r>
      <w:hyperlink w:anchor="_ENREF_2" w:tooltip="Wesley-Hunt, 2005 #18296" w:history="1">
        <w:r w:rsidR="00534117">
          <w:rPr>
            <w:noProof/>
            <w:sz w:val="24"/>
            <w:szCs w:val="24"/>
          </w:rPr>
          <w:t>2</w:t>
        </w:r>
      </w:hyperlink>
      <w:r w:rsidR="00534117">
        <w:rPr>
          <w:noProof/>
          <w:sz w:val="24"/>
          <w:szCs w:val="24"/>
        </w:rPr>
        <w:t>]</w:t>
      </w:r>
      <w:r w:rsidR="00534117">
        <w:rPr>
          <w:sz w:val="24"/>
          <w:szCs w:val="24"/>
        </w:rPr>
        <w:fldChar w:fldCharType="end"/>
      </w:r>
      <w:r w:rsidRPr="00381AF1">
        <w:rPr>
          <w:sz w:val="24"/>
          <w:szCs w:val="24"/>
        </w:rPr>
        <w:t>.</w:t>
      </w:r>
    </w:p>
    <w:p w14:paraId="2C109AA0" w14:textId="0F554525" w:rsidR="00B97076" w:rsidRPr="00381AF1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381AF1">
        <w:rPr>
          <w:sz w:val="24"/>
          <w:szCs w:val="24"/>
        </w:rPr>
        <w:t>1.</w:t>
      </w:r>
      <w:r w:rsidR="004040C3">
        <w:rPr>
          <w:sz w:val="24"/>
          <w:szCs w:val="24"/>
        </w:rPr>
        <w:t xml:space="preserve"> </w:t>
      </w:r>
      <w:r w:rsidRPr="00381AF1">
        <w:rPr>
          <w:i/>
          <w:iCs/>
          <w:sz w:val="24"/>
          <w:szCs w:val="24"/>
        </w:rPr>
        <w:t>Incisor row: parabolic or straight</w:t>
      </w:r>
      <w:r w:rsidRPr="00381AF1">
        <w:rPr>
          <w:sz w:val="24"/>
          <w:szCs w:val="24"/>
        </w:rPr>
        <w:t>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(1) parabolic organization, (2) straight incisor row.</w:t>
      </w:r>
    </w:p>
    <w:p w14:paraId="1408B3FC" w14:textId="554A64BF" w:rsidR="00B97076" w:rsidRPr="00381AF1" w:rsidRDefault="00B97076" w:rsidP="00534117">
      <w:pPr>
        <w:pStyle w:val="BodyTextIndent2"/>
        <w:ind w:left="544" w:hanging="544"/>
        <w:rPr>
          <w:rFonts w:ascii="Times New Roman" w:hAnsi="Times New Roman" w:cs="Times New Roman"/>
        </w:rPr>
      </w:pPr>
      <w:r w:rsidRPr="00381AF1">
        <w:rPr>
          <w:rFonts w:ascii="Times New Roman" w:hAnsi="Times New Roman" w:cs="Times New Roman"/>
        </w:rPr>
        <w:t xml:space="preserve">2. </w:t>
      </w:r>
      <w:r w:rsidRPr="00381AF1">
        <w:rPr>
          <w:rFonts w:ascii="Times New Roman" w:hAnsi="Times New Roman" w:cs="Times New Roman"/>
          <w:i/>
          <w:iCs/>
        </w:rPr>
        <w:t>Canine: length over width</w:t>
      </w:r>
      <w:r w:rsidRPr="00381AF1">
        <w:rPr>
          <w:rFonts w:ascii="Times New Roman" w:hAnsi="Times New Roman" w:cs="Times New Roman"/>
        </w:rPr>
        <w:t>, measured a</w:t>
      </w:r>
      <w:r w:rsidR="004040C3">
        <w:rPr>
          <w:rFonts w:ascii="Times New Roman" w:hAnsi="Times New Roman" w:cs="Times New Roman"/>
        </w:rPr>
        <w:t xml:space="preserve">t the enamel-dentine junction. </w:t>
      </w:r>
      <w:r w:rsidRPr="00381AF1">
        <w:rPr>
          <w:rFonts w:ascii="Times New Roman" w:hAnsi="Times New Roman" w:cs="Times New Roman"/>
        </w:rPr>
        <w:t xml:space="preserve">This is an </w:t>
      </w:r>
      <w:r w:rsidR="004040C3">
        <w:rPr>
          <w:rFonts w:ascii="Times New Roman" w:hAnsi="Times New Roman" w:cs="Times New Roman"/>
        </w:rPr>
        <w:t xml:space="preserve">ordered, continuous character. </w:t>
      </w:r>
      <w:r w:rsidRPr="00381AF1">
        <w:rPr>
          <w:rFonts w:ascii="Times New Roman" w:hAnsi="Times New Roman" w:cs="Times New Roman"/>
        </w:rPr>
        <w:t>The continuum was divided into five categories based on the distribution and the extreme morphology of saber-toothed forms: (1) X ≤ 1.2, (2) 1.2 &lt; X ≤ 1.35, (3) 1.35 &lt; X ≤ 1.5, (</w:t>
      </w:r>
      <w:r w:rsidR="004040C3">
        <w:rPr>
          <w:rFonts w:ascii="Times New Roman" w:hAnsi="Times New Roman" w:cs="Times New Roman"/>
        </w:rPr>
        <w:t>4) 1.5 &lt; X ≤ 1.7, (5) X &gt; 1.7.</w:t>
      </w:r>
    </w:p>
    <w:p w14:paraId="2CED8571" w14:textId="21F9C8FE" w:rsidR="00B97076" w:rsidRPr="00381AF1" w:rsidRDefault="00B97076" w:rsidP="00534117">
      <w:pPr>
        <w:pStyle w:val="BodyTextIndent2"/>
        <w:ind w:left="544" w:hanging="544"/>
        <w:rPr>
          <w:rFonts w:ascii="Times New Roman" w:hAnsi="Times New Roman" w:cs="Times New Roman"/>
        </w:rPr>
      </w:pPr>
      <w:r w:rsidRPr="00381AF1">
        <w:rPr>
          <w:rFonts w:ascii="Times New Roman" w:hAnsi="Times New Roman" w:cs="Times New Roman"/>
        </w:rPr>
        <w:t>3.</w:t>
      </w:r>
      <w:r w:rsidR="004040C3">
        <w:rPr>
          <w:rFonts w:ascii="Times New Roman" w:hAnsi="Times New Roman" w:cs="Times New Roman"/>
        </w:rPr>
        <w:t xml:space="preserve"> </w:t>
      </w:r>
      <w:r w:rsidRPr="00381AF1">
        <w:rPr>
          <w:rFonts w:ascii="Times New Roman" w:hAnsi="Times New Roman" w:cs="Times New Roman"/>
          <w:i/>
          <w:iCs/>
        </w:rPr>
        <w:t>Number of upper premolars anterior to the carnassial</w:t>
      </w:r>
      <w:r w:rsidRPr="00381AF1">
        <w:rPr>
          <w:rFonts w:ascii="Times New Roman" w:hAnsi="Times New Roman" w:cs="Times New Roman"/>
        </w:rPr>
        <w:t>.</w:t>
      </w:r>
      <w:r w:rsidR="004040C3">
        <w:rPr>
          <w:rFonts w:ascii="Times New Roman" w:hAnsi="Times New Roman" w:cs="Times New Roman"/>
        </w:rPr>
        <w:t xml:space="preserve"> </w:t>
      </w:r>
      <w:r w:rsidRPr="00381AF1">
        <w:rPr>
          <w:rFonts w:ascii="Times New Roman" w:hAnsi="Times New Roman" w:cs="Times New Roman"/>
        </w:rPr>
        <w:t>Vestigial premolars</w:t>
      </w:r>
      <w:r w:rsidR="004040C3">
        <w:rPr>
          <w:rFonts w:ascii="Times New Roman" w:hAnsi="Times New Roman" w:cs="Times New Roman"/>
        </w:rPr>
        <w:t xml:space="preserve"> are not included. </w:t>
      </w:r>
      <w:r w:rsidRPr="00381AF1">
        <w:rPr>
          <w:rFonts w:ascii="Times New Roman" w:hAnsi="Times New Roman" w:cs="Times New Roman"/>
        </w:rPr>
        <w:t xml:space="preserve">This character is discrete and ordered. </w:t>
      </w:r>
    </w:p>
    <w:p w14:paraId="2F25110D" w14:textId="55B0FB22" w:rsidR="00B97076" w:rsidRPr="00381AF1" w:rsidRDefault="00B97076" w:rsidP="00534117">
      <w:pPr>
        <w:pStyle w:val="BodyTextIndent2"/>
        <w:ind w:left="544" w:hanging="544"/>
        <w:rPr>
          <w:rFonts w:ascii="Times New Roman" w:hAnsi="Times New Roman" w:cs="Times New Roman"/>
        </w:rPr>
      </w:pPr>
      <w:r w:rsidRPr="00381AF1">
        <w:rPr>
          <w:rFonts w:ascii="Times New Roman" w:hAnsi="Times New Roman" w:cs="Times New Roman"/>
        </w:rPr>
        <w:t>4.</w:t>
      </w:r>
      <w:r w:rsidR="004040C3">
        <w:rPr>
          <w:rFonts w:ascii="Times New Roman" w:hAnsi="Times New Roman" w:cs="Times New Roman"/>
        </w:rPr>
        <w:t xml:space="preserve"> </w:t>
      </w:r>
      <w:r w:rsidRPr="00381AF1">
        <w:rPr>
          <w:rFonts w:ascii="Times New Roman" w:hAnsi="Times New Roman" w:cs="Times New Roman"/>
          <w:i/>
          <w:iCs/>
        </w:rPr>
        <w:t>Largest upper premolar anterior to the carnassial: length over width</w:t>
      </w:r>
      <w:r w:rsidRPr="00381AF1">
        <w:rPr>
          <w:rFonts w:ascii="Times New Roman" w:hAnsi="Times New Roman" w:cs="Times New Roman"/>
        </w:rPr>
        <w:t>.</w:t>
      </w:r>
      <w:r w:rsidR="004040C3">
        <w:rPr>
          <w:rFonts w:ascii="Times New Roman" w:hAnsi="Times New Roman" w:cs="Times New Roman"/>
        </w:rPr>
        <w:t xml:space="preserve"> </w:t>
      </w:r>
      <w:r w:rsidRPr="00381AF1">
        <w:rPr>
          <w:rFonts w:ascii="Times New Roman" w:hAnsi="Times New Roman" w:cs="Times New Roman"/>
        </w:rPr>
        <w:t>This is an ordered, continuous character.</w:t>
      </w:r>
      <w:r w:rsidR="004040C3">
        <w:rPr>
          <w:rFonts w:ascii="Times New Roman" w:hAnsi="Times New Roman" w:cs="Times New Roman"/>
        </w:rPr>
        <w:t xml:space="preserve"> </w:t>
      </w:r>
      <w:r w:rsidRPr="00381AF1">
        <w:rPr>
          <w:rFonts w:ascii="Times New Roman" w:hAnsi="Times New Roman" w:cs="Times New Roman"/>
        </w:rPr>
        <w:t>The continuum was divided into three categories based on its distribution.</w:t>
      </w:r>
      <w:r w:rsidR="004040C3">
        <w:rPr>
          <w:rFonts w:ascii="Times New Roman" w:hAnsi="Times New Roman" w:cs="Times New Roman"/>
        </w:rPr>
        <w:t xml:space="preserve"> </w:t>
      </w:r>
      <w:r w:rsidRPr="00381AF1">
        <w:rPr>
          <w:rFonts w:ascii="Times New Roman" w:hAnsi="Times New Roman" w:cs="Times New Roman"/>
        </w:rPr>
        <w:t>The three bins are defined as: (1) X ≤1.7, (2) 1.7 &lt; X ≤ 2.3, (3) X &gt; 2.3.</w:t>
      </w:r>
      <w:r w:rsidR="004040C3">
        <w:rPr>
          <w:rFonts w:ascii="Times New Roman" w:hAnsi="Times New Roman" w:cs="Times New Roman"/>
        </w:rPr>
        <w:t xml:space="preserve"> </w:t>
      </w:r>
    </w:p>
    <w:p w14:paraId="3C0BE0C3" w14:textId="1E796A95" w:rsidR="00B97076" w:rsidRPr="00AA3ECA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AA3ECA">
        <w:rPr>
          <w:sz w:val="24"/>
          <w:szCs w:val="24"/>
        </w:rPr>
        <w:t>5.</w:t>
      </w:r>
      <w:r w:rsidR="004040C3" w:rsidRPr="00AA3ECA">
        <w:rPr>
          <w:sz w:val="24"/>
          <w:szCs w:val="24"/>
        </w:rPr>
        <w:t xml:space="preserve"> </w:t>
      </w:r>
      <w:r w:rsidRPr="00AA3ECA">
        <w:rPr>
          <w:i/>
          <w:iCs/>
          <w:sz w:val="24"/>
          <w:szCs w:val="24"/>
        </w:rPr>
        <w:t>Upper premolar spacing: close or spaced</w:t>
      </w:r>
      <w:r w:rsidRPr="00AA3ECA">
        <w:rPr>
          <w:sz w:val="24"/>
          <w:szCs w:val="24"/>
        </w:rPr>
        <w:t>.</w:t>
      </w:r>
      <w:r w:rsidR="004040C3" w:rsidRPr="00AA3ECA">
        <w:rPr>
          <w:sz w:val="24"/>
          <w:szCs w:val="24"/>
        </w:rPr>
        <w:t xml:space="preserve"> </w:t>
      </w:r>
      <w:r w:rsidRPr="00AA3ECA">
        <w:rPr>
          <w:sz w:val="24"/>
          <w:szCs w:val="24"/>
        </w:rPr>
        <w:t>Premolars were characterized as spaced if gaps were present between the first, second, and third upper premolar.</w:t>
      </w:r>
      <w:r w:rsidR="004040C3" w:rsidRPr="00AA3ECA">
        <w:rPr>
          <w:sz w:val="24"/>
          <w:szCs w:val="24"/>
        </w:rPr>
        <w:t xml:space="preserve"> </w:t>
      </w:r>
      <w:r w:rsidRPr="00AA3ECA">
        <w:rPr>
          <w:sz w:val="24"/>
          <w:szCs w:val="24"/>
        </w:rPr>
        <w:t>Premolars were characterized as close under the following conditions: 1)</w:t>
      </w:r>
      <w:bookmarkStart w:id="0" w:name="_GoBack"/>
      <w:bookmarkEnd w:id="0"/>
      <w:r w:rsidRPr="00AA3ECA">
        <w:rPr>
          <w:sz w:val="24"/>
          <w:szCs w:val="24"/>
        </w:rPr>
        <w:t xml:space="preserve"> no space between the second and third premolar, however there may be space present between the canine and the first premolar, or between the first and second premolar, but not both; or 2) the first and second premolar are vestigial.</w:t>
      </w:r>
      <w:r w:rsidR="00AA3ECA" w:rsidRPr="00AA3ECA">
        <w:rPr>
          <w:sz w:val="24"/>
          <w:szCs w:val="24"/>
        </w:rPr>
        <w:t xml:space="preserve"> </w:t>
      </w:r>
    </w:p>
    <w:p w14:paraId="2EBA65CB" w14:textId="36C8BE69" w:rsidR="00B97076" w:rsidRPr="00381AF1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381AF1">
        <w:rPr>
          <w:sz w:val="24"/>
          <w:szCs w:val="24"/>
        </w:rPr>
        <w:t>6.</w:t>
      </w:r>
      <w:r w:rsidR="004040C3">
        <w:rPr>
          <w:sz w:val="24"/>
          <w:szCs w:val="24"/>
        </w:rPr>
        <w:t xml:space="preserve"> </w:t>
      </w:r>
      <w:r w:rsidRPr="00381AF1">
        <w:rPr>
          <w:i/>
          <w:iCs/>
          <w:sz w:val="24"/>
          <w:szCs w:val="24"/>
        </w:rPr>
        <w:t>Last lower premolar: length over width</w:t>
      </w:r>
      <w:r w:rsidRPr="00381AF1">
        <w:rPr>
          <w:sz w:val="24"/>
          <w:szCs w:val="24"/>
        </w:rPr>
        <w:t>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This character is ordered, and continuous.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 xml:space="preserve">The continuum was divided into three categories based on its distribution, the </w:t>
      </w:r>
      <w:r w:rsidRPr="00381AF1">
        <w:rPr>
          <w:sz w:val="24"/>
          <w:szCs w:val="24"/>
        </w:rPr>
        <w:lastRenderedPageBreak/>
        <w:t>exact cut-offs between categories were arbitrary: (1) X &lt; 1.7</w:t>
      </w:r>
      <w:r w:rsidR="004040C3">
        <w:rPr>
          <w:sz w:val="24"/>
          <w:szCs w:val="24"/>
        </w:rPr>
        <w:t>, (2) 1.7 ≤ X ≥2.2, (3) X &gt; 2.2</w:t>
      </w:r>
      <w:r w:rsidRPr="00381AF1">
        <w:rPr>
          <w:sz w:val="24"/>
          <w:szCs w:val="24"/>
        </w:rPr>
        <w:t>.</w:t>
      </w:r>
    </w:p>
    <w:p w14:paraId="3FDFE521" w14:textId="62141B0B" w:rsidR="00B97076" w:rsidRPr="00381AF1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381AF1">
        <w:rPr>
          <w:sz w:val="24"/>
          <w:szCs w:val="24"/>
        </w:rPr>
        <w:t>7.</w:t>
      </w:r>
      <w:r w:rsidRPr="00381AF1">
        <w:rPr>
          <w:sz w:val="24"/>
          <w:szCs w:val="24"/>
        </w:rPr>
        <w:tab/>
      </w:r>
      <w:r w:rsidRPr="00381AF1">
        <w:rPr>
          <w:i/>
          <w:iCs/>
          <w:sz w:val="24"/>
          <w:szCs w:val="24"/>
        </w:rPr>
        <w:t>Shape of the upper carnassial</w:t>
      </w:r>
      <w:r w:rsidRPr="00381AF1">
        <w:rPr>
          <w:sz w:val="24"/>
          <w:szCs w:val="24"/>
        </w:rPr>
        <w:t>: (1) square, (2) equilateral triangle, (3) an elongate triangle (approximating a right, scalene triangle), (4) linear.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The shape is determined by the outline of the occlusal surface.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The carnassial is classified as linear if the protocone participates in the shear and there is no shelf lingual to the protocone.</w:t>
      </w:r>
    </w:p>
    <w:p w14:paraId="0B65E84D" w14:textId="28089D98" w:rsidR="00B97076" w:rsidRPr="00381AF1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381AF1">
        <w:rPr>
          <w:sz w:val="24"/>
          <w:szCs w:val="24"/>
        </w:rPr>
        <w:t>8.</w:t>
      </w:r>
      <w:r w:rsidRPr="00381AF1">
        <w:rPr>
          <w:sz w:val="24"/>
          <w:szCs w:val="24"/>
        </w:rPr>
        <w:tab/>
      </w:r>
      <w:r w:rsidRPr="00381AF1">
        <w:rPr>
          <w:i/>
          <w:iCs/>
          <w:sz w:val="24"/>
          <w:szCs w:val="24"/>
        </w:rPr>
        <w:t>Blade length of upper carnassial</w:t>
      </w:r>
      <w:r w:rsidRPr="00381AF1">
        <w:rPr>
          <w:sz w:val="24"/>
          <w:szCs w:val="24"/>
        </w:rPr>
        <w:t>: length of shearing blade compared to total length of the upper carnassial.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(1) no blade present, (2) the blade 1/3 of total length, (3) the blade 1/2 of total length, and (4) the blade 2/3 or greater of total tooth length.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This character is ordered.</w:t>
      </w:r>
    </w:p>
    <w:p w14:paraId="5F8D861F" w14:textId="63DA8FA5" w:rsidR="00B97076" w:rsidRPr="00381AF1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381AF1">
        <w:rPr>
          <w:sz w:val="24"/>
          <w:szCs w:val="24"/>
        </w:rPr>
        <w:t>9.</w:t>
      </w:r>
      <w:r w:rsidRPr="00381AF1">
        <w:rPr>
          <w:sz w:val="24"/>
          <w:szCs w:val="24"/>
        </w:rPr>
        <w:tab/>
      </w:r>
      <w:r w:rsidRPr="00381AF1">
        <w:rPr>
          <w:i/>
          <w:iCs/>
          <w:sz w:val="24"/>
          <w:szCs w:val="24"/>
        </w:rPr>
        <w:t>Relative blade length of lower carnassial</w:t>
      </w:r>
      <w:r w:rsidRPr="00381AF1">
        <w:rPr>
          <w:sz w:val="24"/>
          <w:szCs w:val="24"/>
        </w:rPr>
        <w:t>: ratio of the anteroposterior length of the trigonid, measured on the buccal side, over the total maximum length of the tooth.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This character is ordered and continuous in distribution.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The distribution is divided into five categories: (1) X = 0 (2) 0 &lt; X &lt; 0.55 (3) 0.55 ≤ X ≤ 0.75, (4) 0.75 ≤ X ≤ 0.9, (5) X &gt; 0.9.</w:t>
      </w:r>
    </w:p>
    <w:p w14:paraId="535F3D49" w14:textId="5EE0A0C6" w:rsidR="00B97076" w:rsidRPr="00381AF1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381AF1">
        <w:rPr>
          <w:sz w:val="24"/>
          <w:szCs w:val="24"/>
        </w:rPr>
        <w:t>10.</w:t>
      </w:r>
      <w:r w:rsidRPr="00381AF1">
        <w:rPr>
          <w:sz w:val="24"/>
          <w:szCs w:val="24"/>
        </w:rPr>
        <w:tab/>
      </w:r>
      <w:r w:rsidRPr="00381AF1">
        <w:rPr>
          <w:i/>
          <w:iCs/>
          <w:sz w:val="24"/>
          <w:szCs w:val="24"/>
        </w:rPr>
        <w:t xml:space="preserve">Angle </w:t>
      </w:r>
      <w:r w:rsidR="004040C3">
        <w:rPr>
          <w:i/>
          <w:iCs/>
          <w:sz w:val="24"/>
          <w:szCs w:val="24"/>
        </w:rPr>
        <w:t>β</w:t>
      </w:r>
      <w:r w:rsidRPr="00381AF1">
        <w:rPr>
          <w:i/>
          <w:iCs/>
          <w:sz w:val="24"/>
          <w:szCs w:val="24"/>
        </w:rPr>
        <w:t>, upper carnassial</w:t>
      </w:r>
      <w:r w:rsidRPr="00381AF1">
        <w:rPr>
          <w:sz w:val="24"/>
          <w:szCs w:val="24"/>
        </w:rPr>
        <w:t>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ß is the angle between a line drawn from the metacone to the most anterior projection of the parastyle, and a line drawn from the metacone to the apex of the protocone, with the tooth positioned in full occlusal view. This character is ordered.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The continuum was divided into four categories based on the distribution, and distinguishing the extremes: (1) X &lt; 24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>, (2) 25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 xml:space="preserve"> ≤ X &lt; 30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>, (3) 30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 xml:space="preserve"> ≤ X &lt; 40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>, (4) X ≥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40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>.</w:t>
      </w:r>
    </w:p>
    <w:p w14:paraId="07BEF430" w14:textId="2E3FE009" w:rsidR="00B97076" w:rsidRPr="00381AF1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381AF1">
        <w:rPr>
          <w:sz w:val="24"/>
          <w:szCs w:val="24"/>
        </w:rPr>
        <w:t>11.</w:t>
      </w:r>
      <w:r w:rsidRPr="00381AF1">
        <w:rPr>
          <w:sz w:val="24"/>
          <w:szCs w:val="24"/>
        </w:rPr>
        <w:tab/>
      </w:r>
      <w:r w:rsidRPr="00381AF1">
        <w:rPr>
          <w:i/>
          <w:iCs/>
          <w:sz w:val="24"/>
          <w:szCs w:val="24"/>
        </w:rPr>
        <w:t xml:space="preserve">Angle </w:t>
      </w:r>
      <w:r w:rsidR="004040C3">
        <w:rPr>
          <w:rFonts w:cs="Symbol"/>
          <w:i/>
          <w:iCs/>
          <w:sz w:val="24"/>
          <w:szCs w:val="24"/>
        </w:rPr>
        <w:t>α</w:t>
      </w:r>
      <w:r w:rsidRPr="00381AF1">
        <w:rPr>
          <w:i/>
          <w:iCs/>
          <w:sz w:val="24"/>
          <w:szCs w:val="24"/>
        </w:rPr>
        <w:t>, lower carnassial</w:t>
      </w:r>
      <w:r w:rsidRPr="00381AF1">
        <w:rPr>
          <w:sz w:val="24"/>
          <w:szCs w:val="24"/>
        </w:rPr>
        <w:t>.</w:t>
      </w:r>
      <w:r w:rsidR="004040C3">
        <w:rPr>
          <w:sz w:val="24"/>
          <w:szCs w:val="24"/>
        </w:rPr>
        <w:t xml:space="preserve"> </w:t>
      </w:r>
      <w:r w:rsidR="004040C3">
        <w:rPr>
          <w:rFonts w:cs="Symbol"/>
          <w:sz w:val="24"/>
          <w:szCs w:val="24"/>
        </w:rPr>
        <w:t>α</w:t>
      </w:r>
      <w:r w:rsidRPr="00381AF1">
        <w:rPr>
          <w:sz w:val="24"/>
          <w:szCs w:val="24"/>
        </w:rPr>
        <w:t xml:space="preserve"> is the angle between a line drawn along the base of the tooth crown, above the roots, and a line drawn tangential to the protoconid and to the highest point on the talonid with the tooth positioned in full occlusal </w:t>
      </w:r>
      <w:r w:rsidRPr="00381AF1">
        <w:rPr>
          <w:sz w:val="24"/>
          <w:szCs w:val="24"/>
        </w:rPr>
        <w:lastRenderedPageBreak/>
        <w:t>view.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This character is ordered.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The continuum was divided into five categories based on the distribution: (1) 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>&lt; X &lt; 15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>, (2) 15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 xml:space="preserve"> ≤ X &lt; 30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 xml:space="preserve"> (3) 30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 xml:space="preserve"> ≤ X &lt; 50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 xml:space="preserve"> (4) 50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 xml:space="preserve"> ≤ X &lt; 70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 xml:space="preserve"> (5) X ≤ 70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>.</w:t>
      </w:r>
    </w:p>
    <w:p w14:paraId="43AA80AC" w14:textId="7B96C9CB" w:rsidR="00B97076" w:rsidRPr="00381AF1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381AF1">
        <w:rPr>
          <w:sz w:val="24"/>
          <w:szCs w:val="24"/>
        </w:rPr>
        <w:t>12.</w:t>
      </w:r>
      <w:r w:rsidRPr="00381AF1">
        <w:rPr>
          <w:sz w:val="24"/>
          <w:szCs w:val="24"/>
        </w:rPr>
        <w:tab/>
      </w:r>
      <w:r w:rsidRPr="00381AF1">
        <w:rPr>
          <w:i/>
          <w:iCs/>
          <w:sz w:val="24"/>
          <w:szCs w:val="24"/>
        </w:rPr>
        <w:t xml:space="preserve">Angle </w:t>
      </w:r>
      <w:r w:rsidR="004040C3">
        <w:rPr>
          <w:i/>
          <w:iCs/>
          <w:sz w:val="24"/>
          <w:szCs w:val="24"/>
        </w:rPr>
        <w:t>γ</w:t>
      </w:r>
      <w:r w:rsidRPr="00381AF1">
        <w:rPr>
          <w:i/>
          <w:iCs/>
          <w:sz w:val="24"/>
          <w:szCs w:val="24"/>
        </w:rPr>
        <w:t> lower carnassial</w:t>
      </w:r>
      <w:r w:rsidRPr="00381AF1">
        <w:rPr>
          <w:sz w:val="24"/>
          <w:szCs w:val="24"/>
        </w:rPr>
        <w:t>.</w:t>
      </w:r>
      <w:r w:rsidR="004040C3">
        <w:rPr>
          <w:sz w:val="24"/>
          <w:szCs w:val="24"/>
        </w:rPr>
        <w:t xml:space="preserve"> </w:t>
      </w:r>
      <w:r w:rsidR="004040C3">
        <w:rPr>
          <w:rFonts w:cs="Symbol"/>
          <w:sz w:val="24"/>
          <w:szCs w:val="24"/>
        </w:rPr>
        <w:t>γ</w:t>
      </w:r>
      <w:r w:rsidRPr="00381AF1">
        <w:rPr>
          <w:sz w:val="24"/>
          <w:szCs w:val="24"/>
        </w:rPr>
        <w:t xml:space="preserve"> is the angle between the </w:t>
      </w:r>
      <w:proofErr w:type="spellStart"/>
      <w:r w:rsidRPr="00381AF1">
        <w:rPr>
          <w:sz w:val="24"/>
          <w:szCs w:val="24"/>
        </w:rPr>
        <w:t>paralophid</w:t>
      </w:r>
      <w:proofErr w:type="spellEnd"/>
      <w:r w:rsidRPr="00381AF1">
        <w:rPr>
          <w:sz w:val="24"/>
          <w:szCs w:val="24"/>
        </w:rPr>
        <w:t xml:space="preserve"> and protolophid of the trigonid of the lower carnassial positioned in occlusal view.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This character is ordered.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The continuum was divided into 5 categories: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(1) X =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>, (2) 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 xml:space="preserve"> &lt; X ≤ 40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>, (3) 40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 xml:space="preserve"> &lt; X ≤ 80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>, (4) 80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 xml:space="preserve"> &lt; X ≤ 130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>, (5) X = 180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>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If the metaconid is absent there is no protolophid, and the angle is coded as 180</w:t>
      </w:r>
      <w:r w:rsidRPr="00381AF1">
        <w:rPr>
          <w:rFonts w:cs="Symbol"/>
          <w:sz w:val="24"/>
          <w:szCs w:val="24"/>
        </w:rPr>
        <w:t></w:t>
      </w:r>
      <w:r w:rsidRPr="00381AF1">
        <w:rPr>
          <w:sz w:val="24"/>
          <w:szCs w:val="24"/>
        </w:rPr>
        <w:t xml:space="preserve"> (category 5) which is characteristic of hypercarnivorous forms.</w:t>
      </w:r>
      <w:r w:rsidR="004040C3">
        <w:rPr>
          <w:sz w:val="24"/>
          <w:szCs w:val="24"/>
        </w:rPr>
        <w:t xml:space="preserve"> </w:t>
      </w:r>
    </w:p>
    <w:p w14:paraId="34234EA1" w14:textId="7682FB89" w:rsidR="00B97076" w:rsidRPr="00381AF1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381AF1">
        <w:rPr>
          <w:sz w:val="24"/>
          <w:szCs w:val="24"/>
        </w:rPr>
        <w:t>13.</w:t>
      </w:r>
      <w:r w:rsidRPr="00381AF1">
        <w:rPr>
          <w:sz w:val="24"/>
          <w:szCs w:val="24"/>
        </w:rPr>
        <w:tab/>
      </w:r>
      <w:r w:rsidRPr="00381AF1">
        <w:rPr>
          <w:i/>
          <w:iCs/>
          <w:sz w:val="24"/>
          <w:szCs w:val="24"/>
        </w:rPr>
        <w:t>Shape of upper first molar</w:t>
      </w:r>
      <w:r w:rsidRPr="00381AF1">
        <w:rPr>
          <w:sz w:val="24"/>
          <w:szCs w:val="24"/>
        </w:rPr>
        <w:t>: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1) square or longitudinal rectangle, 2) transverse rectangle, 3) triangle, 4) absent.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Shape was determined by outline of the occlusal surface.</w:t>
      </w:r>
      <w:r w:rsidR="004040C3">
        <w:rPr>
          <w:sz w:val="24"/>
          <w:szCs w:val="24"/>
        </w:rPr>
        <w:t xml:space="preserve"> </w:t>
      </w:r>
    </w:p>
    <w:p w14:paraId="498C41F1" w14:textId="0A882432" w:rsidR="00B97076" w:rsidRPr="00381AF1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381AF1">
        <w:rPr>
          <w:sz w:val="24"/>
          <w:szCs w:val="24"/>
        </w:rPr>
        <w:t>14.</w:t>
      </w:r>
      <w:r w:rsidRPr="00381AF1">
        <w:rPr>
          <w:sz w:val="24"/>
          <w:szCs w:val="24"/>
        </w:rPr>
        <w:tab/>
      </w:r>
      <w:r w:rsidRPr="00381AF1">
        <w:rPr>
          <w:i/>
          <w:iCs/>
          <w:sz w:val="24"/>
          <w:szCs w:val="24"/>
        </w:rPr>
        <w:t>Number of upper molars</w:t>
      </w:r>
      <w:r w:rsidRPr="00381AF1">
        <w:rPr>
          <w:sz w:val="24"/>
          <w:szCs w:val="24"/>
        </w:rPr>
        <w:t>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For a molar to be considered present, its occlusal surface area must be equal to at least one half of the surface area of the first upper molar.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This character is ordered.</w:t>
      </w:r>
    </w:p>
    <w:p w14:paraId="0A2A37D3" w14:textId="1C3D6B39" w:rsidR="00B97076" w:rsidRPr="00381AF1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381AF1">
        <w:rPr>
          <w:sz w:val="24"/>
          <w:szCs w:val="24"/>
        </w:rPr>
        <w:t>15.</w:t>
      </w:r>
      <w:r w:rsidRPr="00381AF1">
        <w:rPr>
          <w:sz w:val="24"/>
          <w:szCs w:val="24"/>
        </w:rPr>
        <w:tab/>
      </w:r>
      <w:r w:rsidRPr="00381AF1">
        <w:rPr>
          <w:i/>
          <w:iCs/>
          <w:sz w:val="24"/>
          <w:szCs w:val="24"/>
        </w:rPr>
        <w:t>Cusp shape</w:t>
      </w:r>
      <w:r w:rsidRPr="00381AF1">
        <w:rPr>
          <w:sz w:val="24"/>
          <w:szCs w:val="24"/>
        </w:rPr>
        <w:t>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Cusps on the upper first molar were classified as round or sharp</w:t>
      </w:r>
      <w:r w:rsidR="00381AF1" w:rsidRPr="00381AF1">
        <w:rPr>
          <w:sz w:val="24"/>
          <w:szCs w:val="24"/>
        </w:rPr>
        <w:t>.</w:t>
      </w:r>
      <w:r w:rsidRPr="00381AF1">
        <w:rPr>
          <w:sz w:val="24"/>
          <w:szCs w:val="24"/>
        </w:rPr>
        <w:t xml:space="preserve"> “Sharp” is defined as a cusp that comes to a point, and possesses sides with straight slopes.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A “round” cusp has a rounded tip and the sides have curved slopes.</w:t>
      </w:r>
    </w:p>
    <w:p w14:paraId="37DF02CB" w14:textId="76CC71FA" w:rsidR="00381AF1" w:rsidRPr="00381AF1" w:rsidRDefault="00B97076" w:rsidP="00534117">
      <w:pPr>
        <w:spacing w:line="480" w:lineRule="auto"/>
        <w:ind w:left="544" w:hanging="544"/>
        <w:rPr>
          <w:sz w:val="24"/>
          <w:szCs w:val="24"/>
        </w:rPr>
      </w:pPr>
      <w:r w:rsidRPr="00381AF1">
        <w:rPr>
          <w:sz w:val="24"/>
          <w:szCs w:val="24"/>
        </w:rPr>
        <w:t>16.</w:t>
      </w:r>
      <w:r w:rsidRPr="00381AF1">
        <w:rPr>
          <w:sz w:val="24"/>
          <w:szCs w:val="24"/>
        </w:rPr>
        <w:tab/>
      </w:r>
      <w:r w:rsidRPr="00381AF1">
        <w:rPr>
          <w:i/>
          <w:iCs/>
          <w:sz w:val="24"/>
          <w:szCs w:val="24"/>
        </w:rPr>
        <w:t>Grinding area of the lower molars</w:t>
      </w:r>
      <w:r w:rsidRPr="00381AF1">
        <w:rPr>
          <w:sz w:val="24"/>
          <w:szCs w:val="24"/>
        </w:rPr>
        <w:t>. Calculated as the total occlusal surface area of the lower molars divided by the total grinding surface area: surface area of m1+m2+m3…)/ (m1 talonid+m2+m3+grinding area of p4</w:t>
      </w:r>
      <w:r w:rsidR="00381AF1" w:rsidRPr="00381AF1">
        <w:rPr>
          <w:sz w:val="24"/>
          <w:szCs w:val="24"/>
        </w:rPr>
        <w:t>.</w:t>
      </w:r>
      <w:r w:rsidRPr="00381AF1">
        <w:rPr>
          <w:sz w:val="24"/>
          <w:szCs w:val="24"/>
        </w:rPr>
        <w:t xml:space="preserve"> </w:t>
      </w:r>
      <w:r w:rsidR="00381AF1" w:rsidRPr="00381AF1">
        <w:rPr>
          <w:sz w:val="24"/>
          <w:szCs w:val="24"/>
        </w:rPr>
        <w:t xml:space="preserve">Modified from </w:t>
      </w:r>
      <w:r w:rsidRPr="00381AF1">
        <w:rPr>
          <w:sz w:val="24"/>
          <w:szCs w:val="24"/>
        </w:rPr>
        <w:t>Relative Grinding Area.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This character is ordered, and continuous.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The continuum was divided into five categories beginning with the entire molar region dedicated to grinding and ending with no grinding area at all: (1) X=1, (2) 1 &lt; X &lt; 2.25, (3) 2.25 ≤ X ≤ 4, (4) 4 &lt; X ≤ 6 (5) X &gt; 6.</w:t>
      </w:r>
      <w:r w:rsidR="004040C3">
        <w:rPr>
          <w:sz w:val="24"/>
          <w:szCs w:val="24"/>
        </w:rPr>
        <w:t xml:space="preserve"> </w:t>
      </w:r>
      <w:r w:rsidRPr="00381AF1">
        <w:rPr>
          <w:sz w:val="24"/>
          <w:szCs w:val="24"/>
        </w:rPr>
        <w:t>The last bin represents all taxa with a grinding area of 0 or a grinding ratio greater than 6.</w:t>
      </w:r>
    </w:p>
    <w:p w14:paraId="017AFF11" w14:textId="77777777" w:rsidR="00381AF1" w:rsidRPr="00381AF1" w:rsidRDefault="00381AF1" w:rsidP="00534117">
      <w:pPr>
        <w:spacing w:line="480" w:lineRule="auto"/>
        <w:rPr>
          <w:sz w:val="24"/>
          <w:szCs w:val="24"/>
        </w:rPr>
      </w:pPr>
    </w:p>
    <w:p w14:paraId="070775FA" w14:textId="411C8505" w:rsidR="00534117" w:rsidRPr="00534117" w:rsidRDefault="00534117" w:rsidP="00534117">
      <w:pPr>
        <w:spacing w:line="480" w:lineRule="auto"/>
        <w:ind w:left="720" w:hanging="720"/>
        <w:rPr>
          <w:b/>
          <w:sz w:val="24"/>
          <w:szCs w:val="24"/>
        </w:rPr>
      </w:pPr>
      <w:r w:rsidRPr="00534117">
        <w:rPr>
          <w:b/>
          <w:sz w:val="24"/>
          <w:szCs w:val="24"/>
        </w:rPr>
        <w:t>References</w:t>
      </w:r>
    </w:p>
    <w:p w14:paraId="5EB7DFA3" w14:textId="77777777" w:rsidR="00534117" w:rsidRPr="00534117" w:rsidRDefault="00381AF1" w:rsidP="00534117">
      <w:pPr>
        <w:spacing w:line="480" w:lineRule="auto"/>
        <w:ind w:left="720" w:hanging="720"/>
        <w:rPr>
          <w:noProof/>
          <w:sz w:val="24"/>
          <w:szCs w:val="24"/>
        </w:rPr>
      </w:pPr>
      <w:r w:rsidRPr="00381AF1">
        <w:rPr>
          <w:sz w:val="24"/>
          <w:szCs w:val="24"/>
        </w:rPr>
        <w:fldChar w:fldCharType="begin"/>
      </w:r>
      <w:r w:rsidRPr="00381AF1">
        <w:rPr>
          <w:sz w:val="24"/>
          <w:szCs w:val="24"/>
        </w:rPr>
        <w:instrText xml:space="preserve"> ADDIN EN.REFLIST </w:instrText>
      </w:r>
      <w:r w:rsidRPr="00381AF1">
        <w:rPr>
          <w:sz w:val="24"/>
          <w:szCs w:val="24"/>
        </w:rPr>
        <w:fldChar w:fldCharType="separate"/>
      </w:r>
      <w:bookmarkStart w:id="1" w:name="_ENREF_1"/>
      <w:r w:rsidR="00534117" w:rsidRPr="00534117">
        <w:rPr>
          <w:noProof/>
          <w:sz w:val="24"/>
          <w:szCs w:val="24"/>
        </w:rPr>
        <w:t>1. Werdelin L, Wesley-Hunt GD (2010) The biogeography of carnivore ecomorphology. In: Goswami A, Friscia A, editors. Carnivoran Evolution: New Views on Phylogeny, Form, and Function. Cambridge: Cambridge University Press. pp. 225-245.</w:t>
      </w:r>
      <w:bookmarkEnd w:id="1"/>
    </w:p>
    <w:p w14:paraId="040ECC6E" w14:textId="77777777" w:rsidR="00534117" w:rsidRPr="00534117" w:rsidRDefault="00534117" w:rsidP="00534117">
      <w:pPr>
        <w:spacing w:line="480" w:lineRule="auto"/>
        <w:ind w:left="720" w:hanging="720"/>
        <w:rPr>
          <w:noProof/>
          <w:sz w:val="24"/>
          <w:szCs w:val="24"/>
        </w:rPr>
      </w:pPr>
      <w:bookmarkStart w:id="2" w:name="_ENREF_2"/>
      <w:r w:rsidRPr="00534117">
        <w:rPr>
          <w:noProof/>
          <w:sz w:val="24"/>
          <w:szCs w:val="24"/>
        </w:rPr>
        <w:t>2. Wesley-Hunt GD (2005) The morphological diversification of carnivores in North America. Paleobiology 31: 35-55.</w:t>
      </w:r>
      <w:bookmarkEnd w:id="2"/>
    </w:p>
    <w:p w14:paraId="2034F6CE" w14:textId="03663BBF" w:rsidR="00534117" w:rsidRDefault="00534117" w:rsidP="00534117">
      <w:pPr>
        <w:spacing w:line="480" w:lineRule="auto"/>
        <w:rPr>
          <w:noProof/>
          <w:sz w:val="24"/>
          <w:szCs w:val="24"/>
        </w:rPr>
      </w:pPr>
    </w:p>
    <w:p w14:paraId="34ECF8B2" w14:textId="495014A6" w:rsidR="0052283E" w:rsidRPr="00381AF1" w:rsidRDefault="00381AF1" w:rsidP="00534117">
      <w:pPr>
        <w:spacing w:line="480" w:lineRule="auto"/>
        <w:rPr>
          <w:sz w:val="24"/>
          <w:szCs w:val="24"/>
        </w:rPr>
      </w:pPr>
      <w:r w:rsidRPr="00381AF1">
        <w:rPr>
          <w:sz w:val="24"/>
          <w:szCs w:val="24"/>
        </w:rPr>
        <w:fldChar w:fldCharType="end"/>
      </w:r>
    </w:p>
    <w:sectPr w:rsidR="0052283E" w:rsidRPr="00381AF1" w:rsidSect="00AC60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0d5wxxfj0aaaie2pafvzvp1ex0zr2dvaaxz&quot;&gt;Lars library&lt;record-ids&gt;&lt;item&gt;18296&lt;/item&gt;&lt;item&gt;24290&lt;/item&gt;&lt;/record-ids&gt;&lt;/item&gt;&lt;/Libraries&gt;"/>
  </w:docVars>
  <w:rsids>
    <w:rsidRoot w:val="00B97076"/>
    <w:rsid w:val="000B5AC9"/>
    <w:rsid w:val="00381AF1"/>
    <w:rsid w:val="004040C3"/>
    <w:rsid w:val="004233FB"/>
    <w:rsid w:val="0052283E"/>
    <w:rsid w:val="00534117"/>
    <w:rsid w:val="0063654B"/>
    <w:rsid w:val="00732416"/>
    <w:rsid w:val="008121FC"/>
    <w:rsid w:val="00AA3ECA"/>
    <w:rsid w:val="00AC6082"/>
    <w:rsid w:val="00B97076"/>
    <w:rsid w:val="00C601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1D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7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3FB"/>
    <w:pPr>
      <w:spacing w:line="48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FB"/>
    <w:rPr>
      <w:rFonts w:ascii="Lucida Grande" w:eastAsia="Times New Roman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B97076"/>
    <w:pPr>
      <w:tabs>
        <w:tab w:val="left" w:pos="360"/>
      </w:tabs>
      <w:autoSpaceDE w:val="0"/>
      <w:autoSpaceDN w:val="0"/>
      <w:adjustRightInd w:val="0"/>
      <w:spacing w:line="480" w:lineRule="auto"/>
      <w:ind w:left="360" w:hanging="360"/>
    </w:pPr>
    <w:rPr>
      <w:rFonts w:ascii="Times" w:hAnsi="Times" w:cs="Times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7076"/>
    <w:rPr>
      <w:rFonts w:ascii="Times" w:eastAsia="Times New Roman" w:hAnsi="Times" w:cs="Times"/>
      <w:lang w:eastAsia="en-US"/>
    </w:rPr>
  </w:style>
  <w:style w:type="character" w:styleId="Hyperlink">
    <w:name w:val="Hyperlink"/>
    <w:basedOn w:val="DefaultParagraphFont"/>
    <w:uiPriority w:val="99"/>
    <w:unhideWhenUsed/>
    <w:rsid w:val="00381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7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3FB"/>
    <w:pPr>
      <w:spacing w:line="48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FB"/>
    <w:rPr>
      <w:rFonts w:ascii="Lucida Grande" w:eastAsia="Times New Roman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B97076"/>
    <w:pPr>
      <w:tabs>
        <w:tab w:val="left" w:pos="360"/>
      </w:tabs>
      <w:autoSpaceDE w:val="0"/>
      <w:autoSpaceDN w:val="0"/>
      <w:adjustRightInd w:val="0"/>
      <w:spacing w:line="480" w:lineRule="auto"/>
      <w:ind w:left="360" w:hanging="360"/>
    </w:pPr>
    <w:rPr>
      <w:rFonts w:ascii="Times" w:hAnsi="Times" w:cs="Times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7076"/>
    <w:rPr>
      <w:rFonts w:ascii="Times" w:eastAsia="Times New Roman" w:hAnsi="Times" w:cs="Times"/>
      <w:lang w:eastAsia="en-US"/>
    </w:rPr>
  </w:style>
  <w:style w:type="character" w:styleId="Hyperlink">
    <w:name w:val="Hyperlink"/>
    <w:basedOn w:val="DefaultParagraphFont"/>
    <w:uiPriority w:val="99"/>
    <w:unhideWhenUsed/>
    <w:rsid w:val="00381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1083</Words>
  <Characters>6174</Characters>
  <Application>Microsoft Macintosh Word</Application>
  <DocSecurity>0</DocSecurity>
  <Lines>51</Lines>
  <Paragraphs>14</Paragraphs>
  <ScaleCrop>false</ScaleCrop>
  <Company>NRM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Werdelin</dc:creator>
  <cp:keywords/>
  <dc:description/>
  <cp:lastModifiedBy>Lars Werdelin</cp:lastModifiedBy>
  <cp:revision>3</cp:revision>
  <dcterms:created xsi:type="dcterms:W3CDTF">2013-01-19T14:55:00Z</dcterms:created>
  <dcterms:modified xsi:type="dcterms:W3CDTF">2013-01-20T10:09:00Z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