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6F6E" w14:textId="77777777" w:rsidR="00E31E92" w:rsidRPr="0057284A" w:rsidRDefault="00E31E92" w:rsidP="00E31E92">
      <w:pPr>
        <w:pStyle w:val="Heading2"/>
        <w:rPr>
          <w:rFonts w:ascii="Times" w:hAnsi="Times"/>
          <w:b w:val="0"/>
          <w:i w:val="0"/>
          <w:sz w:val="24"/>
          <w:szCs w:val="24"/>
        </w:rPr>
      </w:pPr>
      <w:bookmarkStart w:id="0" w:name="_Toc208308277"/>
      <w:r>
        <w:rPr>
          <w:rFonts w:ascii="Times" w:hAnsi="Times"/>
          <w:i w:val="0"/>
          <w:sz w:val="24"/>
          <w:szCs w:val="24"/>
        </w:rPr>
        <w:t>Table S</w:t>
      </w:r>
      <w:r w:rsidR="00CF0CC7">
        <w:rPr>
          <w:rFonts w:ascii="Times" w:hAnsi="Times"/>
          <w:i w:val="0"/>
          <w:sz w:val="24"/>
          <w:szCs w:val="24"/>
        </w:rPr>
        <w:t>2</w:t>
      </w:r>
      <w:bookmarkStart w:id="1" w:name="_GoBack"/>
      <w:bookmarkEnd w:id="1"/>
      <w:r w:rsidRPr="0055177D">
        <w:rPr>
          <w:rFonts w:ascii="Times" w:hAnsi="Times"/>
          <w:i w:val="0"/>
          <w:sz w:val="24"/>
          <w:szCs w:val="24"/>
        </w:rPr>
        <w:t xml:space="preserve">. </w:t>
      </w:r>
      <w:r w:rsidRPr="0057284A">
        <w:rPr>
          <w:rFonts w:ascii="Times" w:hAnsi="Times"/>
          <w:b w:val="0"/>
          <w:i w:val="0"/>
          <w:sz w:val="24"/>
          <w:szCs w:val="24"/>
        </w:rPr>
        <w:t>Lowered sugar availability and diabetes prevalence.</w:t>
      </w:r>
      <w:bookmarkEnd w:id="0"/>
    </w:p>
    <w:p w14:paraId="3475B2FE" w14:textId="77777777" w:rsidR="00E31E92" w:rsidRPr="0057284A" w:rsidRDefault="00E31E92" w:rsidP="00E31E92">
      <w:pPr>
        <w:rPr>
          <w:rFonts w:ascii="Times" w:hAnsi="Times"/>
        </w:rPr>
      </w:pPr>
      <w:r w:rsidRPr="0057284A">
        <w:rPr>
          <w:rFonts w:ascii="Times" w:hAnsi="Times"/>
        </w:rPr>
        <w:t>Food components are expressed in kilocalories/person/day. Urbanization refers to the percentage of the population living in urban areas. Aging is the percentage of the population 65 years of age and older. Obesity is the percentage of the population with BMI at least 30 kg/m</w:t>
      </w:r>
      <w:r w:rsidRPr="0057284A">
        <w:rPr>
          <w:rFonts w:ascii="Times" w:hAnsi="Times"/>
          <w:vertAlign w:val="superscript"/>
        </w:rPr>
        <w:t>2</w:t>
      </w:r>
      <w:r w:rsidRPr="0057284A">
        <w:rPr>
          <w:rFonts w:ascii="Times" w:hAnsi="Times"/>
        </w:rPr>
        <w:t>.</w:t>
      </w:r>
    </w:p>
    <w:p w14:paraId="226080A2" w14:textId="77777777" w:rsidR="00E31E92" w:rsidRPr="0057284A" w:rsidRDefault="00E31E92" w:rsidP="00E31E92">
      <w:pPr>
        <w:rPr>
          <w:rFonts w:ascii="Times" w:hAnsi="Times"/>
        </w:rPr>
      </w:pPr>
    </w:p>
    <w:tbl>
      <w:tblPr>
        <w:tblW w:w="0" w:type="auto"/>
        <w:tblLayout w:type="fixed"/>
        <w:tblLook w:val="0000" w:firstRow="0" w:lastRow="0" w:firstColumn="0" w:lastColumn="0" w:noHBand="0" w:noVBand="0"/>
      </w:tblPr>
      <w:tblGrid>
        <w:gridCol w:w="2616"/>
        <w:gridCol w:w="2016"/>
      </w:tblGrid>
      <w:tr w:rsidR="00E31E92" w:rsidRPr="0057284A" w14:paraId="0C2C5387" w14:textId="77777777" w:rsidTr="00B93A29">
        <w:tblPrEx>
          <w:tblCellMar>
            <w:top w:w="0" w:type="dxa"/>
            <w:bottom w:w="0" w:type="dxa"/>
          </w:tblCellMar>
        </w:tblPrEx>
        <w:tc>
          <w:tcPr>
            <w:tcW w:w="2616" w:type="dxa"/>
            <w:tcBorders>
              <w:top w:val="single" w:sz="4" w:space="0" w:color="auto"/>
              <w:left w:val="nil"/>
              <w:bottom w:val="nil"/>
              <w:right w:val="nil"/>
            </w:tcBorders>
          </w:tcPr>
          <w:p w14:paraId="6B338FD4" w14:textId="77777777" w:rsidR="00E31E92" w:rsidRPr="0057284A" w:rsidRDefault="00E31E92" w:rsidP="00B93A29">
            <w:pPr>
              <w:widowControl w:val="0"/>
              <w:autoSpaceDE w:val="0"/>
              <w:autoSpaceDN w:val="0"/>
              <w:adjustRightInd w:val="0"/>
              <w:rPr>
                <w:rFonts w:ascii="Times" w:hAnsi="Times"/>
              </w:rPr>
            </w:pPr>
          </w:p>
        </w:tc>
        <w:tc>
          <w:tcPr>
            <w:tcW w:w="2016" w:type="dxa"/>
            <w:tcBorders>
              <w:top w:val="single" w:sz="4" w:space="0" w:color="auto"/>
              <w:left w:val="nil"/>
              <w:bottom w:val="nil"/>
              <w:right w:val="nil"/>
            </w:tcBorders>
          </w:tcPr>
          <w:p w14:paraId="3421B512"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(1)</w:t>
            </w:r>
          </w:p>
        </w:tc>
      </w:tr>
      <w:tr w:rsidR="00E31E92" w:rsidRPr="0057284A" w14:paraId="10E33720" w14:textId="77777777" w:rsidTr="00B93A29">
        <w:tblPrEx>
          <w:tblCellMar>
            <w:top w:w="0" w:type="dxa"/>
            <w:bottom w:w="0" w:type="dxa"/>
          </w:tblCellMar>
        </w:tblPrEx>
        <w:tc>
          <w:tcPr>
            <w:tcW w:w="2616" w:type="dxa"/>
            <w:tcBorders>
              <w:top w:val="nil"/>
              <w:left w:val="nil"/>
              <w:bottom w:val="nil"/>
              <w:right w:val="nil"/>
            </w:tcBorders>
          </w:tcPr>
          <w:p w14:paraId="1B8D094F" w14:textId="77777777" w:rsidR="00E31E92" w:rsidRPr="0057284A" w:rsidRDefault="00E31E92" w:rsidP="00B93A29">
            <w:pPr>
              <w:widowControl w:val="0"/>
              <w:autoSpaceDE w:val="0"/>
              <w:autoSpaceDN w:val="0"/>
              <w:adjustRightInd w:val="0"/>
              <w:rPr>
                <w:rFonts w:ascii="Times" w:hAnsi="Times"/>
              </w:rPr>
            </w:pPr>
          </w:p>
        </w:tc>
        <w:tc>
          <w:tcPr>
            <w:tcW w:w="2016" w:type="dxa"/>
            <w:tcBorders>
              <w:top w:val="nil"/>
              <w:left w:val="nil"/>
              <w:bottom w:val="nil"/>
              <w:right w:val="nil"/>
            </w:tcBorders>
          </w:tcPr>
          <w:p w14:paraId="0CAAD612"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Diabetes prevalence (%)</w:t>
            </w:r>
          </w:p>
        </w:tc>
      </w:tr>
      <w:tr w:rsidR="00E31E92" w:rsidRPr="0057284A" w14:paraId="470FF362" w14:textId="77777777" w:rsidTr="00B93A29">
        <w:tblPrEx>
          <w:tblCellMar>
            <w:top w:w="0" w:type="dxa"/>
            <w:bottom w:w="0" w:type="dxa"/>
          </w:tblCellMar>
        </w:tblPrEx>
        <w:tc>
          <w:tcPr>
            <w:tcW w:w="2616" w:type="dxa"/>
            <w:tcBorders>
              <w:top w:val="single" w:sz="4" w:space="0" w:color="auto"/>
              <w:left w:val="nil"/>
              <w:bottom w:val="nil"/>
              <w:right w:val="nil"/>
            </w:tcBorders>
          </w:tcPr>
          <w:p w14:paraId="77C67E25"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log GDP per capita</w:t>
            </w:r>
          </w:p>
        </w:tc>
        <w:tc>
          <w:tcPr>
            <w:tcW w:w="2016" w:type="dxa"/>
            <w:tcBorders>
              <w:top w:val="single" w:sz="4" w:space="0" w:color="auto"/>
              <w:left w:val="nil"/>
              <w:bottom w:val="nil"/>
              <w:right w:val="nil"/>
            </w:tcBorders>
          </w:tcPr>
          <w:p w14:paraId="14E24223"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1.72</w:t>
            </w:r>
            <w:r w:rsidRPr="0057284A">
              <w:rPr>
                <w:rFonts w:ascii="Times" w:hAnsi="Times"/>
                <w:vertAlign w:val="superscript"/>
              </w:rPr>
              <w:t>*</w:t>
            </w:r>
            <w:r w:rsidRPr="0057284A">
              <w:rPr>
                <w:rFonts w:ascii="Times" w:hAnsi="Times"/>
              </w:rPr>
              <w:br/>
              <w:t>(0.74)</w:t>
            </w:r>
          </w:p>
        </w:tc>
      </w:tr>
      <w:tr w:rsidR="00E31E92" w:rsidRPr="0057284A" w14:paraId="5F043405" w14:textId="77777777" w:rsidTr="00B93A29">
        <w:tblPrEx>
          <w:tblCellMar>
            <w:top w:w="0" w:type="dxa"/>
            <w:bottom w:w="0" w:type="dxa"/>
          </w:tblCellMar>
        </w:tblPrEx>
        <w:tc>
          <w:tcPr>
            <w:tcW w:w="2616" w:type="dxa"/>
            <w:tcBorders>
              <w:top w:val="nil"/>
              <w:left w:val="nil"/>
              <w:bottom w:val="nil"/>
              <w:right w:val="nil"/>
            </w:tcBorders>
          </w:tcPr>
          <w:p w14:paraId="49F8D90F"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Effect of lowering sugar availability</w:t>
            </w:r>
          </w:p>
        </w:tc>
        <w:tc>
          <w:tcPr>
            <w:tcW w:w="2016" w:type="dxa"/>
            <w:tcBorders>
              <w:top w:val="nil"/>
              <w:left w:val="nil"/>
              <w:bottom w:val="nil"/>
              <w:right w:val="nil"/>
            </w:tcBorders>
          </w:tcPr>
          <w:p w14:paraId="6AABE1D9"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-0.074</w:t>
            </w:r>
            <w:r w:rsidRPr="0057284A">
              <w:rPr>
                <w:rFonts w:ascii="Times" w:hAnsi="Times"/>
                <w:vertAlign w:val="superscript"/>
              </w:rPr>
              <w:t>*</w:t>
            </w:r>
            <w:r w:rsidRPr="0057284A">
              <w:rPr>
                <w:rFonts w:ascii="Times" w:hAnsi="Times"/>
              </w:rPr>
              <w:br/>
              <w:t>(0.036)</w:t>
            </w:r>
          </w:p>
        </w:tc>
      </w:tr>
      <w:tr w:rsidR="00E31E92" w:rsidRPr="0057284A" w14:paraId="7585F7DB" w14:textId="77777777" w:rsidTr="00B93A29">
        <w:tblPrEx>
          <w:tblCellMar>
            <w:top w:w="0" w:type="dxa"/>
            <w:bottom w:w="0" w:type="dxa"/>
          </w:tblCellMar>
        </w:tblPrEx>
        <w:tc>
          <w:tcPr>
            <w:tcW w:w="2616" w:type="dxa"/>
            <w:tcBorders>
              <w:top w:val="nil"/>
              <w:left w:val="nil"/>
              <w:bottom w:val="nil"/>
              <w:right w:val="nil"/>
            </w:tcBorders>
          </w:tcPr>
          <w:p w14:paraId="3F4C9D20"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fiber availability</w:t>
            </w:r>
          </w:p>
        </w:tc>
        <w:tc>
          <w:tcPr>
            <w:tcW w:w="2016" w:type="dxa"/>
            <w:tcBorders>
              <w:top w:val="nil"/>
              <w:left w:val="nil"/>
              <w:bottom w:val="nil"/>
              <w:right w:val="nil"/>
            </w:tcBorders>
          </w:tcPr>
          <w:p w14:paraId="7934B162"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0.0000080</w:t>
            </w:r>
            <w:r w:rsidRPr="0057284A">
              <w:rPr>
                <w:rFonts w:ascii="Times" w:hAnsi="Times"/>
              </w:rPr>
              <w:br/>
              <w:t>(0.00038)</w:t>
            </w:r>
          </w:p>
        </w:tc>
      </w:tr>
      <w:tr w:rsidR="00E31E92" w:rsidRPr="0057284A" w14:paraId="69B2B800" w14:textId="77777777" w:rsidTr="00B93A29">
        <w:tblPrEx>
          <w:tblCellMar>
            <w:top w:w="0" w:type="dxa"/>
            <w:bottom w:w="0" w:type="dxa"/>
          </w:tblCellMar>
        </w:tblPrEx>
        <w:tc>
          <w:tcPr>
            <w:tcW w:w="2616" w:type="dxa"/>
            <w:tcBorders>
              <w:top w:val="nil"/>
              <w:left w:val="nil"/>
              <w:bottom w:val="nil"/>
              <w:right w:val="nil"/>
            </w:tcBorders>
          </w:tcPr>
          <w:p w14:paraId="2F82851F"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fruit availability</w:t>
            </w:r>
          </w:p>
        </w:tc>
        <w:tc>
          <w:tcPr>
            <w:tcW w:w="2016" w:type="dxa"/>
            <w:tcBorders>
              <w:top w:val="nil"/>
              <w:left w:val="nil"/>
              <w:bottom w:val="nil"/>
              <w:right w:val="nil"/>
            </w:tcBorders>
          </w:tcPr>
          <w:p w14:paraId="3D39B3C7"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0.0012</w:t>
            </w:r>
            <w:r w:rsidRPr="0057284A">
              <w:rPr>
                <w:rFonts w:ascii="Times" w:hAnsi="Times"/>
              </w:rPr>
              <w:br/>
              <w:t>(0.0021)</w:t>
            </w:r>
          </w:p>
        </w:tc>
      </w:tr>
      <w:tr w:rsidR="00E31E92" w:rsidRPr="0057284A" w14:paraId="1603A872" w14:textId="77777777" w:rsidTr="00B93A29">
        <w:tblPrEx>
          <w:tblCellMar>
            <w:top w:w="0" w:type="dxa"/>
            <w:bottom w:w="0" w:type="dxa"/>
          </w:tblCellMar>
        </w:tblPrEx>
        <w:tc>
          <w:tcPr>
            <w:tcW w:w="2616" w:type="dxa"/>
            <w:tcBorders>
              <w:top w:val="nil"/>
              <w:left w:val="nil"/>
              <w:bottom w:val="nil"/>
              <w:right w:val="nil"/>
            </w:tcBorders>
          </w:tcPr>
          <w:p w14:paraId="0849C89F"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meat availability</w:t>
            </w:r>
          </w:p>
        </w:tc>
        <w:tc>
          <w:tcPr>
            <w:tcW w:w="2016" w:type="dxa"/>
            <w:tcBorders>
              <w:top w:val="nil"/>
              <w:left w:val="nil"/>
              <w:bottom w:val="nil"/>
              <w:right w:val="nil"/>
            </w:tcBorders>
          </w:tcPr>
          <w:p w14:paraId="11A22F77"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0.00017</w:t>
            </w:r>
            <w:r w:rsidRPr="0057284A">
              <w:rPr>
                <w:rFonts w:ascii="Times" w:hAnsi="Times"/>
              </w:rPr>
              <w:br/>
              <w:t>(0.0011)</w:t>
            </w:r>
          </w:p>
        </w:tc>
      </w:tr>
      <w:tr w:rsidR="00E31E92" w:rsidRPr="0057284A" w14:paraId="18C0F09C" w14:textId="77777777" w:rsidTr="00B93A29">
        <w:tblPrEx>
          <w:tblCellMar>
            <w:top w:w="0" w:type="dxa"/>
            <w:bottom w:w="0" w:type="dxa"/>
          </w:tblCellMar>
        </w:tblPrEx>
        <w:tc>
          <w:tcPr>
            <w:tcW w:w="2616" w:type="dxa"/>
            <w:tcBorders>
              <w:top w:val="nil"/>
              <w:left w:val="nil"/>
              <w:bottom w:val="nil"/>
              <w:right w:val="nil"/>
            </w:tcBorders>
          </w:tcPr>
          <w:p w14:paraId="2561EA71"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cereal availability</w:t>
            </w:r>
          </w:p>
        </w:tc>
        <w:tc>
          <w:tcPr>
            <w:tcW w:w="2016" w:type="dxa"/>
            <w:tcBorders>
              <w:top w:val="nil"/>
              <w:left w:val="nil"/>
              <w:bottom w:val="nil"/>
              <w:right w:val="nil"/>
            </w:tcBorders>
          </w:tcPr>
          <w:p w14:paraId="386BC067"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-0.00042</w:t>
            </w:r>
            <w:r w:rsidRPr="0057284A">
              <w:rPr>
                <w:rFonts w:ascii="Times" w:hAnsi="Times"/>
              </w:rPr>
              <w:br/>
              <w:t>(0.00051)</w:t>
            </w:r>
          </w:p>
        </w:tc>
      </w:tr>
      <w:tr w:rsidR="00E31E92" w:rsidRPr="0057284A" w14:paraId="1D80E72E" w14:textId="77777777" w:rsidTr="00B93A29">
        <w:tblPrEx>
          <w:tblCellMar>
            <w:top w:w="0" w:type="dxa"/>
            <w:bottom w:w="0" w:type="dxa"/>
          </w:tblCellMar>
        </w:tblPrEx>
        <w:tc>
          <w:tcPr>
            <w:tcW w:w="2616" w:type="dxa"/>
            <w:tcBorders>
              <w:top w:val="nil"/>
              <w:left w:val="nil"/>
              <w:bottom w:val="nil"/>
              <w:right w:val="nil"/>
            </w:tcBorders>
          </w:tcPr>
          <w:p w14:paraId="3CDB4532"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oil availability</w:t>
            </w:r>
          </w:p>
        </w:tc>
        <w:tc>
          <w:tcPr>
            <w:tcW w:w="2016" w:type="dxa"/>
            <w:tcBorders>
              <w:top w:val="nil"/>
              <w:left w:val="nil"/>
              <w:bottom w:val="nil"/>
              <w:right w:val="nil"/>
            </w:tcBorders>
          </w:tcPr>
          <w:p w14:paraId="42FA75AB"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0.00024</w:t>
            </w:r>
            <w:r w:rsidRPr="0057284A">
              <w:rPr>
                <w:rFonts w:ascii="Times" w:hAnsi="Times"/>
              </w:rPr>
              <w:br/>
              <w:t>(0.00058)</w:t>
            </w:r>
          </w:p>
        </w:tc>
      </w:tr>
      <w:tr w:rsidR="00E31E92" w:rsidRPr="0057284A" w14:paraId="27D19CF4" w14:textId="77777777" w:rsidTr="00B93A29">
        <w:tblPrEx>
          <w:tblCellMar>
            <w:top w:w="0" w:type="dxa"/>
            <w:bottom w:w="0" w:type="dxa"/>
          </w:tblCellMar>
        </w:tblPrEx>
        <w:tc>
          <w:tcPr>
            <w:tcW w:w="2616" w:type="dxa"/>
            <w:tcBorders>
              <w:top w:val="nil"/>
              <w:left w:val="nil"/>
              <w:bottom w:val="nil"/>
              <w:right w:val="nil"/>
            </w:tcBorders>
          </w:tcPr>
          <w:p w14:paraId="7531A32E"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total consumption</w:t>
            </w:r>
          </w:p>
        </w:tc>
        <w:tc>
          <w:tcPr>
            <w:tcW w:w="2016" w:type="dxa"/>
            <w:tcBorders>
              <w:top w:val="nil"/>
              <w:left w:val="nil"/>
              <w:bottom w:val="nil"/>
              <w:right w:val="nil"/>
            </w:tcBorders>
          </w:tcPr>
          <w:p w14:paraId="0C4E02E4"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0.00027</w:t>
            </w:r>
            <w:r w:rsidRPr="0057284A">
              <w:rPr>
                <w:rFonts w:ascii="Times" w:hAnsi="Times"/>
              </w:rPr>
              <w:br/>
              <w:t>(0.00048)</w:t>
            </w:r>
          </w:p>
        </w:tc>
      </w:tr>
      <w:tr w:rsidR="00E31E92" w:rsidRPr="0057284A" w14:paraId="590791B2" w14:textId="77777777" w:rsidTr="00B93A29">
        <w:tblPrEx>
          <w:tblCellMar>
            <w:top w:w="0" w:type="dxa"/>
            <w:bottom w:w="0" w:type="dxa"/>
          </w:tblCellMar>
        </w:tblPrEx>
        <w:tc>
          <w:tcPr>
            <w:tcW w:w="2616" w:type="dxa"/>
            <w:tcBorders>
              <w:top w:val="nil"/>
              <w:left w:val="nil"/>
              <w:bottom w:val="nil"/>
              <w:right w:val="nil"/>
            </w:tcBorders>
          </w:tcPr>
          <w:p w14:paraId="2F7EF1FE"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urbanization</w:t>
            </w:r>
          </w:p>
        </w:tc>
        <w:tc>
          <w:tcPr>
            <w:tcW w:w="2016" w:type="dxa"/>
            <w:tcBorders>
              <w:top w:val="nil"/>
              <w:left w:val="nil"/>
              <w:bottom w:val="nil"/>
              <w:right w:val="nil"/>
            </w:tcBorders>
          </w:tcPr>
          <w:p w14:paraId="34165D57"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0.47</w:t>
            </w:r>
            <w:r w:rsidRPr="0057284A">
              <w:rPr>
                <w:rFonts w:ascii="Times" w:hAnsi="Times"/>
                <w:vertAlign w:val="superscript"/>
              </w:rPr>
              <w:t>***</w:t>
            </w:r>
            <w:r w:rsidRPr="0057284A">
              <w:rPr>
                <w:rFonts w:ascii="Times" w:hAnsi="Times"/>
              </w:rPr>
              <w:br/>
              <w:t>(0.12)</w:t>
            </w:r>
          </w:p>
        </w:tc>
      </w:tr>
      <w:tr w:rsidR="00E31E92" w:rsidRPr="0057284A" w14:paraId="7296D170" w14:textId="77777777" w:rsidTr="00B93A29">
        <w:tblPrEx>
          <w:tblCellMar>
            <w:top w:w="0" w:type="dxa"/>
            <w:bottom w:w="0" w:type="dxa"/>
          </w:tblCellMar>
        </w:tblPrEx>
        <w:tc>
          <w:tcPr>
            <w:tcW w:w="2616" w:type="dxa"/>
            <w:tcBorders>
              <w:top w:val="nil"/>
              <w:left w:val="nil"/>
              <w:bottom w:val="nil"/>
              <w:right w:val="nil"/>
            </w:tcBorders>
          </w:tcPr>
          <w:p w14:paraId="126D3142"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elderly population</w:t>
            </w:r>
          </w:p>
        </w:tc>
        <w:tc>
          <w:tcPr>
            <w:tcW w:w="2016" w:type="dxa"/>
            <w:tcBorders>
              <w:top w:val="nil"/>
              <w:left w:val="nil"/>
              <w:bottom w:val="nil"/>
              <w:right w:val="nil"/>
            </w:tcBorders>
          </w:tcPr>
          <w:p w14:paraId="0207716B"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0.75</w:t>
            </w:r>
            <w:r w:rsidRPr="0057284A">
              <w:rPr>
                <w:rFonts w:ascii="Times" w:hAnsi="Times"/>
                <w:vertAlign w:val="superscript"/>
              </w:rPr>
              <w:t>*</w:t>
            </w:r>
            <w:r w:rsidRPr="0057284A">
              <w:rPr>
                <w:rFonts w:ascii="Times" w:hAnsi="Times"/>
              </w:rPr>
              <w:br/>
              <w:t>(0.32)</w:t>
            </w:r>
          </w:p>
        </w:tc>
      </w:tr>
      <w:tr w:rsidR="00E31E92" w:rsidRPr="0057284A" w14:paraId="686EE067" w14:textId="77777777" w:rsidTr="00B93A29">
        <w:tblPrEx>
          <w:tblCellMar>
            <w:top w:w="0" w:type="dxa"/>
            <w:bottom w:w="0" w:type="dxa"/>
          </w:tblCellMar>
        </w:tblPrEx>
        <w:tc>
          <w:tcPr>
            <w:tcW w:w="2616" w:type="dxa"/>
            <w:tcBorders>
              <w:top w:val="nil"/>
              <w:left w:val="nil"/>
              <w:bottom w:val="nil"/>
              <w:right w:val="nil"/>
            </w:tcBorders>
          </w:tcPr>
          <w:p w14:paraId="1EED9F0B"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Change in obesity prevalence</w:t>
            </w:r>
          </w:p>
        </w:tc>
        <w:tc>
          <w:tcPr>
            <w:tcW w:w="2016" w:type="dxa"/>
            <w:tcBorders>
              <w:top w:val="nil"/>
              <w:left w:val="nil"/>
              <w:bottom w:val="nil"/>
              <w:right w:val="nil"/>
            </w:tcBorders>
          </w:tcPr>
          <w:p w14:paraId="1CFB1C06"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0.073</w:t>
            </w:r>
            <w:r w:rsidRPr="0057284A">
              <w:rPr>
                <w:rFonts w:ascii="Times" w:hAnsi="Times"/>
              </w:rPr>
              <w:br/>
              <w:t>(0.079)</w:t>
            </w:r>
          </w:p>
        </w:tc>
      </w:tr>
      <w:tr w:rsidR="00E31E92" w:rsidRPr="0057284A" w14:paraId="4DA63045" w14:textId="77777777" w:rsidTr="00B93A29">
        <w:tblPrEx>
          <w:tblCellMar>
            <w:top w:w="0" w:type="dxa"/>
            <w:bottom w:w="0" w:type="dxa"/>
          </w:tblCellMar>
        </w:tblPrEx>
        <w:tc>
          <w:tcPr>
            <w:tcW w:w="2616" w:type="dxa"/>
            <w:tcBorders>
              <w:top w:val="single" w:sz="4" w:space="0" w:color="auto"/>
              <w:left w:val="nil"/>
              <w:bottom w:val="nil"/>
              <w:right w:val="nil"/>
            </w:tcBorders>
          </w:tcPr>
          <w:p w14:paraId="00A3C18A" w14:textId="77777777" w:rsidR="00E31E92" w:rsidRPr="0057284A" w:rsidRDefault="00E31E92" w:rsidP="00B93A29">
            <w:pPr>
              <w:widowControl w:val="0"/>
              <w:autoSpaceDE w:val="0"/>
              <w:autoSpaceDN w:val="0"/>
              <w:adjustRightInd w:val="0"/>
              <w:rPr>
                <w:rFonts w:ascii="Times" w:hAnsi="Times"/>
              </w:rPr>
            </w:pPr>
            <w:r w:rsidRPr="0057284A">
              <w:rPr>
                <w:rFonts w:ascii="Times" w:hAnsi="Times"/>
              </w:rPr>
              <w:t>Observations</w:t>
            </w:r>
          </w:p>
        </w:tc>
        <w:tc>
          <w:tcPr>
            <w:tcW w:w="2016" w:type="dxa"/>
            <w:tcBorders>
              <w:top w:val="single" w:sz="4" w:space="0" w:color="auto"/>
              <w:left w:val="nil"/>
              <w:bottom w:val="nil"/>
              <w:right w:val="nil"/>
            </w:tcBorders>
          </w:tcPr>
          <w:p w14:paraId="254470C0"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141</w:t>
            </w:r>
          </w:p>
        </w:tc>
      </w:tr>
      <w:tr w:rsidR="00E31E92" w:rsidRPr="0057284A" w14:paraId="32ABDB3A" w14:textId="77777777" w:rsidTr="00B93A29">
        <w:tblPrEx>
          <w:tblCellMar>
            <w:top w:w="0" w:type="dxa"/>
            <w:bottom w:w="0" w:type="dxa"/>
          </w:tblCellMar>
        </w:tblPrEx>
        <w:tc>
          <w:tcPr>
            <w:tcW w:w="2616" w:type="dxa"/>
            <w:tcBorders>
              <w:top w:val="nil"/>
              <w:left w:val="nil"/>
              <w:bottom w:val="single" w:sz="4" w:space="0" w:color="auto"/>
              <w:right w:val="nil"/>
            </w:tcBorders>
          </w:tcPr>
          <w:p w14:paraId="7B96A715" w14:textId="77777777" w:rsidR="00E31E92" w:rsidRPr="0057284A" w:rsidRDefault="00E31E92" w:rsidP="00B93A29">
            <w:pPr>
              <w:widowControl w:val="0"/>
              <w:autoSpaceDE w:val="0"/>
              <w:autoSpaceDN w:val="0"/>
              <w:adjustRightInd w:val="0"/>
              <w:rPr>
                <w:rFonts w:ascii="Times" w:hAnsi="Times"/>
              </w:rPr>
            </w:pPr>
            <w:r w:rsidRPr="0057284A">
              <w:rPr>
                <w:rFonts w:ascii="Times" w:hAnsi="Times"/>
                <w:i/>
                <w:iCs/>
              </w:rPr>
              <w:t>R</w:t>
            </w:r>
            <w:r w:rsidRPr="0057284A">
              <w:rPr>
                <w:rFonts w:ascii="Times" w:hAnsi="Times"/>
                <w:vertAlign w:val="superscript"/>
              </w:rPr>
              <w:t>2</w:t>
            </w:r>
          </w:p>
        </w:tc>
        <w:tc>
          <w:tcPr>
            <w:tcW w:w="2016" w:type="dxa"/>
            <w:tcBorders>
              <w:top w:val="nil"/>
              <w:left w:val="nil"/>
              <w:bottom w:val="single" w:sz="4" w:space="0" w:color="auto"/>
              <w:right w:val="nil"/>
            </w:tcBorders>
          </w:tcPr>
          <w:p w14:paraId="5D94DB3F" w14:textId="77777777" w:rsidR="00E31E92" w:rsidRPr="0057284A" w:rsidRDefault="00E31E92" w:rsidP="00B93A29">
            <w:pPr>
              <w:widowControl w:val="0"/>
              <w:autoSpaceDE w:val="0"/>
              <w:autoSpaceDN w:val="0"/>
              <w:adjustRightInd w:val="0"/>
              <w:jc w:val="center"/>
              <w:rPr>
                <w:rFonts w:ascii="Times" w:hAnsi="Times"/>
              </w:rPr>
            </w:pPr>
            <w:r w:rsidRPr="0057284A">
              <w:rPr>
                <w:rFonts w:ascii="Times" w:hAnsi="Times"/>
              </w:rPr>
              <w:t>0.10</w:t>
            </w:r>
          </w:p>
        </w:tc>
      </w:tr>
    </w:tbl>
    <w:p w14:paraId="060603A9" w14:textId="77777777" w:rsidR="00E31E92" w:rsidRPr="0057284A" w:rsidRDefault="00E31E92" w:rsidP="00E31E92">
      <w:pPr>
        <w:widowControl w:val="0"/>
        <w:autoSpaceDE w:val="0"/>
        <w:autoSpaceDN w:val="0"/>
        <w:adjustRightInd w:val="0"/>
        <w:rPr>
          <w:rFonts w:ascii="Times" w:hAnsi="Times"/>
        </w:rPr>
      </w:pPr>
      <w:r w:rsidRPr="0057284A">
        <w:rPr>
          <w:rFonts w:ascii="Times" w:hAnsi="Times"/>
        </w:rPr>
        <w:t>Robust standard errors in parentheses</w:t>
      </w:r>
    </w:p>
    <w:p w14:paraId="2FC717BA" w14:textId="77777777" w:rsidR="00E31E92" w:rsidRPr="0057284A" w:rsidRDefault="00E31E92" w:rsidP="00E31E92">
      <w:pPr>
        <w:widowControl w:val="0"/>
        <w:autoSpaceDE w:val="0"/>
        <w:autoSpaceDN w:val="0"/>
        <w:adjustRightInd w:val="0"/>
        <w:spacing w:line="480" w:lineRule="auto"/>
        <w:outlineLvl w:val="0"/>
        <w:rPr>
          <w:rFonts w:ascii="Times" w:hAnsi="Times"/>
        </w:rPr>
      </w:pPr>
      <w:r w:rsidRPr="0057284A">
        <w:rPr>
          <w:rFonts w:ascii="Times" w:hAnsi="Times"/>
          <w:vertAlign w:val="superscript"/>
        </w:rPr>
        <w:t>*</w:t>
      </w:r>
      <w:r w:rsidRPr="0057284A">
        <w:rPr>
          <w:rFonts w:ascii="Times" w:hAnsi="Times"/>
        </w:rPr>
        <w:t xml:space="preserve"> </w:t>
      </w:r>
      <w:r w:rsidRPr="0057284A">
        <w:rPr>
          <w:rFonts w:ascii="Times" w:hAnsi="Times"/>
          <w:i/>
          <w:iCs/>
        </w:rPr>
        <w:t>p</w:t>
      </w:r>
      <w:r w:rsidRPr="0057284A">
        <w:rPr>
          <w:rFonts w:ascii="Times" w:hAnsi="Times"/>
        </w:rPr>
        <w:t xml:space="preserve"> &lt; 0.05, </w:t>
      </w:r>
      <w:r w:rsidRPr="0057284A">
        <w:rPr>
          <w:rFonts w:ascii="Times" w:hAnsi="Times"/>
          <w:vertAlign w:val="superscript"/>
        </w:rPr>
        <w:t>**</w:t>
      </w:r>
      <w:r w:rsidRPr="0057284A">
        <w:rPr>
          <w:rFonts w:ascii="Times" w:hAnsi="Times"/>
        </w:rPr>
        <w:t xml:space="preserve"> </w:t>
      </w:r>
      <w:r w:rsidRPr="0057284A">
        <w:rPr>
          <w:rFonts w:ascii="Times" w:hAnsi="Times"/>
          <w:i/>
          <w:iCs/>
        </w:rPr>
        <w:t>p</w:t>
      </w:r>
      <w:r w:rsidRPr="0057284A">
        <w:rPr>
          <w:rFonts w:ascii="Times" w:hAnsi="Times"/>
        </w:rPr>
        <w:t xml:space="preserve"> &lt; 0.01, </w:t>
      </w:r>
      <w:r w:rsidRPr="0057284A">
        <w:rPr>
          <w:rFonts w:ascii="Times" w:hAnsi="Times"/>
          <w:vertAlign w:val="superscript"/>
        </w:rPr>
        <w:t>***</w:t>
      </w:r>
      <w:r w:rsidRPr="0057284A">
        <w:rPr>
          <w:rFonts w:ascii="Times" w:hAnsi="Times"/>
        </w:rPr>
        <w:t xml:space="preserve"> </w:t>
      </w:r>
      <w:r w:rsidRPr="0057284A">
        <w:rPr>
          <w:rFonts w:ascii="Times" w:hAnsi="Times"/>
          <w:i/>
          <w:iCs/>
        </w:rPr>
        <w:t>p</w:t>
      </w:r>
      <w:r w:rsidRPr="0057284A">
        <w:rPr>
          <w:rFonts w:ascii="Times" w:hAnsi="Times"/>
        </w:rPr>
        <w:t xml:space="preserve"> &lt; 0.001</w:t>
      </w:r>
    </w:p>
    <w:p w14:paraId="03E6104B" w14:textId="77777777" w:rsidR="00E31E92" w:rsidRPr="0057284A" w:rsidRDefault="00E31E92" w:rsidP="00E31E92">
      <w:pPr>
        <w:pStyle w:val="Heading2"/>
        <w:rPr>
          <w:rFonts w:ascii="Times" w:hAnsi="Times"/>
        </w:rPr>
      </w:pPr>
      <w:r w:rsidRPr="0057284A">
        <w:rPr>
          <w:rFonts w:ascii="Times" w:hAnsi="Times"/>
        </w:rPr>
        <w:t xml:space="preserve"> </w:t>
      </w:r>
    </w:p>
    <w:p w14:paraId="2C0BB8EE" w14:textId="77777777" w:rsidR="00E31E92" w:rsidRPr="0057284A" w:rsidRDefault="00E31E92" w:rsidP="00E31E92">
      <w:pPr>
        <w:widowControl w:val="0"/>
        <w:autoSpaceDE w:val="0"/>
        <w:autoSpaceDN w:val="0"/>
        <w:adjustRightInd w:val="0"/>
        <w:spacing w:line="480" w:lineRule="auto"/>
        <w:outlineLvl w:val="0"/>
        <w:rPr>
          <w:rFonts w:ascii="Times" w:hAnsi="Times"/>
        </w:rPr>
      </w:pPr>
    </w:p>
    <w:p w14:paraId="58C25854" w14:textId="77777777" w:rsidR="00A36F2F" w:rsidRDefault="00A36F2F"/>
    <w:sectPr w:rsidR="00A36F2F" w:rsidSect="00EA4E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E1A40" w14:textId="77777777" w:rsidR="00E31E92" w:rsidRDefault="00E31E92" w:rsidP="00E31E92">
      <w:r>
        <w:separator/>
      </w:r>
    </w:p>
  </w:endnote>
  <w:endnote w:type="continuationSeparator" w:id="0">
    <w:p w14:paraId="0D9EB5CD" w14:textId="77777777" w:rsidR="00E31E92" w:rsidRDefault="00E31E92" w:rsidP="00E3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36E80" w14:textId="77777777" w:rsidR="00E31E92" w:rsidRDefault="00E31E92" w:rsidP="00E31E92">
      <w:r>
        <w:separator/>
      </w:r>
    </w:p>
  </w:footnote>
  <w:footnote w:type="continuationSeparator" w:id="0">
    <w:p w14:paraId="6ABF965B" w14:textId="77777777" w:rsidR="00E31E92" w:rsidRDefault="00E31E92" w:rsidP="00E31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92"/>
    <w:rsid w:val="00A36F2F"/>
    <w:rsid w:val="00CF0CC7"/>
    <w:rsid w:val="00E3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1F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92"/>
    <w:rPr>
      <w:rFonts w:ascii="Cambria" w:eastAsia="MS Mincho" w:hAnsi="Cambria" w:cs="Times New Roman"/>
    </w:rPr>
  </w:style>
  <w:style w:type="paragraph" w:styleId="Heading1">
    <w:name w:val="heading 1"/>
    <w:basedOn w:val="Normal"/>
    <w:next w:val="Normal"/>
    <w:link w:val="Heading1Char"/>
    <w:uiPriority w:val="9"/>
    <w:qFormat/>
    <w:rsid w:val="00E31E9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E31E92"/>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92"/>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uiPriority w:val="9"/>
    <w:rsid w:val="00E31E92"/>
    <w:rPr>
      <w:rFonts w:ascii="Calibri" w:eastAsia="ＭＳ ゴシック" w:hAnsi="Calibri" w:cs="Times New Roman"/>
      <w:b/>
      <w:bCs/>
      <w:i/>
      <w:iCs/>
      <w:sz w:val="28"/>
      <w:szCs w:val="28"/>
    </w:rPr>
  </w:style>
  <w:style w:type="paragraph" w:styleId="Footer">
    <w:name w:val="footer"/>
    <w:basedOn w:val="Normal"/>
    <w:link w:val="FooterChar"/>
    <w:uiPriority w:val="99"/>
    <w:unhideWhenUsed/>
    <w:rsid w:val="00E31E92"/>
    <w:pPr>
      <w:tabs>
        <w:tab w:val="center" w:pos="4320"/>
        <w:tab w:val="right" w:pos="8640"/>
      </w:tabs>
    </w:pPr>
  </w:style>
  <w:style w:type="character" w:customStyle="1" w:styleId="FooterChar">
    <w:name w:val="Footer Char"/>
    <w:basedOn w:val="DefaultParagraphFont"/>
    <w:link w:val="Footer"/>
    <w:uiPriority w:val="99"/>
    <w:rsid w:val="00E31E92"/>
    <w:rPr>
      <w:rFonts w:ascii="Cambria" w:eastAsia="MS Mincho" w:hAnsi="Cambria" w:cs="Times New Roman"/>
    </w:rPr>
  </w:style>
  <w:style w:type="paragraph" w:styleId="Header">
    <w:name w:val="header"/>
    <w:basedOn w:val="Normal"/>
    <w:link w:val="HeaderChar"/>
    <w:uiPriority w:val="99"/>
    <w:unhideWhenUsed/>
    <w:rsid w:val="00E31E92"/>
    <w:pPr>
      <w:tabs>
        <w:tab w:val="center" w:pos="4320"/>
        <w:tab w:val="right" w:pos="8640"/>
      </w:tabs>
    </w:pPr>
  </w:style>
  <w:style w:type="character" w:customStyle="1" w:styleId="HeaderChar">
    <w:name w:val="Header Char"/>
    <w:basedOn w:val="DefaultParagraphFont"/>
    <w:link w:val="Header"/>
    <w:uiPriority w:val="99"/>
    <w:rsid w:val="00E31E92"/>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92"/>
    <w:rPr>
      <w:rFonts w:ascii="Cambria" w:eastAsia="MS Mincho" w:hAnsi="Cambria" w:cs="Times New Roman"/>
    </w:rPr>
  </w:style>
  <w:style w:type="paragraph" w:styleId="Heading1">
    <w:name w:val="heading 1"/>
    <w:basedOn w:val="Normal"/>
    <w:next w:val="Normal"/>
    <w:link w:val="Heading1Char"/>
    <w:uiPriority w:val="9"/>
    <w:qFormat/>
    <w:rsid w:val="00E31E9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E31E92"/>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92"/>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uiPriority w:val="9"/>
    <w:rsid w:val="00E31E92"/>
    <w:rPr>
      <w:rFonts w:ascii="Calibri" w:eastAsia="ＭＳ ゴシック" w:hAnsi="Calibri" w:cs="Times New Roman"/>
      <w:b/>
      <w:bCs/>
      <w:i/>
      <w:iCs/>
      <w:sz w:val="28"/>
      <w:szCs w:val="28"/>
    </w:rPr>
  </w:style>
  <w:style w:type="paragraph" w:styleId="Footer">
    <w:name w:val="footer"/>
    <w:basedOn w:val="Normal"/>
    <w:link w:val="FooterChar"/>
    <w:uiPriority w:val="99"/>
    <w:unhideWhenUsed/>
    <w:rsid w:val="00E31E92"/>
    <w:pPr>
      <w:tabs>
        <w:tab w:val="center" w:pos="4320"/>
        <w:tab w:val="right" w:pos="8640"/>
      </w:tabs>
    </w:pPr>
  </w:style>
  <w:style w:type="character" w:customStyle="1" w:styleId="FooterChar">
    <w:name w:val="Footer Char"/>
    <w:basedOn w:val="DefaultParagraphFont"/>
    <w:link w:val="Footer"/>
    <w:uiPriority w:val="99"/>
    <w:rsid w:val="00E31E92"/>
    <w:rPr>
      <w:rFonts w:ascii="Cambria" w:eastAsia="MS Mincho" w:hAnsi="Cambria" w:cs="Times New Roman"/>
    </w:rPr>
  </w:style>
  <w:style w:type="paragraph" w:styleId="Header">
    <w:name w:val="header"/>
    <w:basedOn w:val="Normal"/>
    <w:link w:val="HeaderChar"/>
    <w:uiPriority w:val="99"/>
    <w:unhideWhenUsed/>
    <w:rsid w:val="00E31E92"/>
    <w:pPr>
      <w:tabs>
        <w:tab w:val="center" w:pos="4320"/>
        <w:tab w:val="right" w:pos="8640"/>
      </w:tabs>
    </w:pPr>
  </w:style>
  <w:style w:type="character" w:customStyle="1" w:styleId="HeaderChar">
    <w:name w:val="Header Char"/>
    <w:basedOn w:val="DefaultParagraphFont"/>
    <w:link w:val="Header"/>
    <w:uiPriority w:val="99"/>
    <w:rsid w:val="00E31E92"/>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Macintosh Word</Application>
  <DocSecurity>0</DocSecurity>
  <Lines>7</Lines>
  <Paragraphs>1</Paragraphs>
  <ScaleCrop>false</ScaleCrop>
  <Company>Stanford University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Basu</dc:creator>
  <cp:keywords/>
  <dc:description/>
  <cp:lastModifiedBy>Sanjay Basu</cp:lastModifiedBy>
  <cp:revision>2</cp:revision>
  <dcterms:created xsi:type="dcterms:W3CDTF">2013-01-30T23:41:00Z</dcterms:created>
  <dcterms:modified xsi:type="dcterms:W3CDTF">2013-01-30T23:41:00Z</dcterms:modified>
</cp:coreProperties>
</file>