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1" w:rsidRPr="00C22A3A" w:rsidRDefault="00F25A11" w:rsidP="00F25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A3A">
        <w:rPr>
          <w:rFonts w:ascii="Times New Roman" w:hAnsi="Times New Roman" w:cs="Times New Roman"/>
          <w:sz w:val="24"/>
          <w:szCs w:val="24"/>
        </w:rPr>
        <w:t xml:space="preserve">Table </w:t>
      </w:r>
      <w:r w:rsidR="006D7AC6">
        <w:rPr>
          <w:rFonts w:ascii="Times New Roman" w:hAnsi="Times New Roman" w:cs="Times New Roman"/>
          <w:sz w:val="24"/>
          <w:szCs w:val="24"/>
        </w:rPr>
        <w:t>S2</w:t>
      </w:r>
      <w:r w:rsidRPr="00C22A3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24A59">
        <w:rPr>
          <w:rFonts w:ascii="Times New Roman" w:hAnsi="Times New Roman" w:cs="Times New Roman"/>
          <w:sz w:val="24"/>
          <w:szCs w:val="24"/>
        </w:rPr>
        <w:t>Leaf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A3A">
        <w:rPr>
          <w:rFonts w:ascii="Times New Roman" w:hAnsi="Times New Roman" w:cs="Times New Roman"/>
          <w:sz w:val="24"/>
          <w:szCs w:val="24"/>
        </w:rPr>
        <w:t xml:space="preserve">element concentrations of </w:t>
      </w:r>
      <w:r w:rsidRPr="00C22A3A">
        <w:rPr>
          <w:rFonts w:ascii="Times New Roman" w:hAnsi="Times New Roman" w:cs="Times New Roman"/>
          <w:i/>
          <w:sz w:val="24"/>
          <w:szCs w:val="24"/>
        </w:rPr>
        <w:t xml:space="preserve">Eucalyptus </w:t>
      </w:r>
      <w:proofErr w:type="spellStart"/>
      <w:r w:rsidRPr="00C22A3A">
        <w:rPr>
          <w:rFonts w:ascii="Times New Roman" w:hAnsi="Times New Roman" w:cs="Times New Roman"/>
          <w:i/>
          <w:sz w:val="24"/>
          <w:szCs w:val="24"/>
        </w:rPr>
        <w:t>tetrodonta</w:t>
      </w:r>
      <w:proofErr w:type="spellEnd"/>
      <w:r w:rsidRPr="00C22A3A">
        <w:rPr>
          <w:rFonts w:ascii="Times New Roman" w:hAnsi="Times New Roman" w:cs="Times New Roman"/>
          <w:sz w:val="24"/>
          <w:szCs w:val="24"/>
        </w:rPr>
        <w:t xml:space="preserve"> seedlings</w:t>
      </w:r>
      <w:r w:rsidR="00BF390B">
        <w:rPr>
          <w:rFonts w:ascii="Times New Roman" w:hAnsi="Times New Roman" w:cs="Times New Roman"/>
          <w:sz w:val="24"/>
          <w:szCs w:val="24"/>
        </w:rPr>
        <w:t xml:space="preserve"> in response</w:t>
      </w:r>
      <w:r w:rsidRPr="00C22A3A">
        <w:rPr>
          <w:rFonts w:ascii="Times New Roman" w:hAnsi="Times New Roman" w:cs="Times New Roman"/>
          <w:sz w:val="24"/>
          <w:szCs w:val="24"/>
        </w:rPr>
        <w:t xml:space="preserve"> </w:t>
      </w:r>
      <w:r w:rsidR="00B95070">
        <w:rPr>
          <w:rFonts w:ascii="Times New Roman" w:hAnsi="Times New Roman" w:cs="Times New Roman"/>
          <w:sz w:val="24"/>
          <w:szCs w:val="24"/>
        </w:rPr>
        <w:t>to</w:t>
      </w:r>
      <w:r w:rsidR="00B95070" w:rsidRPr="00C22A3A">
        <w:rPr>
          <w:rFonts w:ascii="Times New Roman" w:hAnsi="Times New Roman" w:cs="Times New Roman"/>
          <w:sz w:val="24"/>
          <w:szCs w:val="24"/>
        </w:rPr>
        <w:t xml:space="preserve"> soluble iron fertilization and </w:t>
      </w:r>
      <w:r w:rsidR="00BF390B">
        <w:rPr>
          <w:rFonts w:ascii="Times New Roman" w:hAnsi="Times New Roman" w:cs="Times New Roman"/>
          <w:sz w:val="24"/>
          <w:szCs w:val="24"/>
        </w:rPr>
        <w:t>to</w:t>
      </w:r>
      <w:r w:rsidR="00BF390B" w:rsidRPr="00C22A3A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="00BF390B" w:rsidRPr="00C22A3A">
        <w:rPr>
          <w:rFonts w:ascii="Times New Roman" w:hAnsi="Times New Roman" w:cs="Times New Roman"/>
          <w:sz w:val="24"/>
          <w:szCs w:val="24"/>
        </w:rPr>
        <w:t>mycorrhizal</w:t>
      </w:r>
      <w:proofErr w:type="spellEnd"/>
      <w:r w:rsidR="00BF390B" w:rsidRPr="00C22A3A">
        <w:rPr>
          <w:rFonts w:ascii="Times New Roman" w:hAnsi="Times New Roman" w:cs="Times New Roman"/>
          <w:sz w:val="24"/>
          <w:szCs w:val="24"/>
        </w:rPr>
        <w:t xml:space="preserve"> network</w:t>
      </w:r>
      <w:r w:rsidR="00BF390B">
        <w:rPr>
          <w:rFonts w:ascii="Times New Roman" w:hAnsi="Times New Roman" w:cs="Times New Roman"/>
          <w:sz w:val="24"/>
          <w:szCs w:val="24"/>
        </w:rPr>
        <w:t xml:space="preserve"> hypha severing</w:t>
      </w:r>
      <w:r w:rsidR="00BF390B" w:rsidRPr="00C22A3A">
        <w:rPr>
          <w:rFonts w:ascii="Times New Roman" w:hAnsi="Times New Roman" w:cs="Times New Roman"/>
          <w:sz w:val="24"/>
          <w:szCs w:val="24"/>
        </w:rPr>
        <w:t xml:space="preserve"> in </w:t>
      </w:r>
      <w:r w:rsidR="00BF390B">
        <w:rPr>
          <w:rFonts w:ascii="Times New Roman" w:hAnsi="Times New Roman" w:cs="Times New Roman"/>
          <w:sz w:val="24"/>
          <w:szCs w:val="24"/>
        </w:rPr>
        <w:t>ambient rain forest</w:t>
      </w:r>
      <w:r w:rsidR="00BF390B" w:rsidRPr="00C22A3A">
        <w:rPr>
          <w:rFonts w:ascii="Times New Roman" w:hAnsi="Times New Roman" w:cs="Times New Roman"/>
          <w:sz w:val="24"/>
          <w:szCs w:val="24"/>
        </w:rPr>
        <w:t xml:space="preserve"> soil</w:t>
      </w:r>
      <w:r w:rsidR="00BF390B">
        <w:rPr>
          <w:rFonts w:ascii="Times New Roman" w:hAnsi="Times New Roman" w:cs="Times New Roman"/>
          <w:sz w:val="24"/>
          <w:szCs w:val="24"/>
        </w:rPr>
        <w:t xml:space="preserve"> 210 days after transplant.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447"/>
        <w:gridCol w:w="1357"/>
        <w:gridCol w:w="1336"/>
        <w:gridCol w:w="1336"/>
        <w:gridCol w:w="1240"/>
      </w:tblGrid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No fertilization</w:t>
            </w:r>
          </w:p>
        </w:tc>
        <w:tc>
          <w:tcPr>
            <w:tcW w:w="2672" w:type="dxa"/>
            <w:gridSpan w:val="2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Iron fertilization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Element (units)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Hyphae-severed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Networked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Hyphae-severed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Networked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F3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F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  <w:r w:rsidRPr="00BF390B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P (%)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(0.03)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0.33,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S (%)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0.15 (0.02)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K (%)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5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(0.08)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0.23,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(1.67), 0.644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Mg (%)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(0.05)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Na (mg kg</w:t>
            </w:r>
            <w:r w:rsidRPr="00C22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(0.08)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0.3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Zn (mg kg</w:t>
            </w:r>
            <w:r w:rsidRPr="00C22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.9)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 (mg kg</w:t>
            </w:r>
            <w:r w:rsidRPr="00C22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), 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(mg kg</w:t>
            </w:r>
            <w:r w:rsidRPr="00C22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Fe (mg kg</w:t>
            </w:r>
            <w:r w:rsidRPr="00C22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  <w:r w:rsidRPr="005B3FEE">
              <w:rPr>
                <w:rFonts w:ascii="Times New Roman" w:hAnsi="Times New Roman" w:cs="Times New Roman"/>
                <w:sz w:val="24"/>
                <w:szCs w:val="24"/>
              </w:rPr>
              <w:t>),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04517" w:rsidRPr="00C22A3A" w:rsidTr="00892CB3">
        <w:tc>
          <w:tcPr>
            <w:tcW w:w="1584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B (mg kg</w:t>
            </w:r>
            <w:r w:rsidRPr="00C22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B3F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F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3F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904517" w:rsidRPr="00C22A3A" w:rsidRDefault="00904517" w:rsidP="00892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4573" w:rsidRPr="00892CB3" w:rsidRDefault="00F25A11" w:rsidP="00892C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are means ± 1 standard error in parentheses</w:t>
      </w:r>
      <w:r w:rsidR="00B9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070">
        <w:rPr>
          <w:rFonts w:ascii="Times New Roman" w:hAnsi="Times New Roman" w:cs="Times New Roman"/>
          <w:sz w:val="24"/>
          <w:szCs w:val="24"/>
        </w:rPr>
        <w:t>E</w:t>
      </w:r>
      <w:r w:rsidRPr="00C22A3A">
        <w:rPr>
          <w:rFonts w:ascii="Times New Roman" w:hAnsi="Times New Roman" w:cs="Times New Roman"/>
          <w:sz w:val="24"/>
          <w:szCs w:val="24"/>
        </w:rPr>
        <w:t>lements with homoscedastic variances were compared by one-way analys</w:t>
      </w:r>
      <w:r w:rsidR="00B95070">
        <w:rPr>
          <w:rFonts w:ascii="Times New Roman" w:hAnsi="Times New Roman" w:cs="Times New Roman"/>
          <w:sz w:val="24"/>
          <w:szCs w:val="24"/>
        </w:rPr>
        <w:t>i</w:t>
      </w:r>
      <w:r w:rsidRPr="00C22A3A">
        <w:rPr>
          <w:rFonts w:ascii="Times New Roman" w:hAnsi="Times New Roman" w:cs="Times New Roman"/>
          <w:sz w:val="24"/>
          <w:szCs w:val="24"/>
        </w:rPr>
        <w:t>s of variance (</w:t>
      </w:r>
      <w:r w:rsidRPr="00892CB3">
        <w:rPr>
          <w:rFonts w:ascii="Times New Roman" w:hAnsi="Times New Roman" w:cs="Times New Roman"/>
          <w:sz w:val="24"/>
          <w:szCs w:val="24"/>
        </w:rPr>
        <w:t xml:space="preserve">F </w:t>
      </w:r>
      <w:r w:rsidRPr="00C22A3A">
        <w:rPr>
          <w:rFonts w:ascii="Times New Roman" w:hAnsi="Times New Roman" w:cs="Times New Roman"/>
          <w:sz w:val="24"/>
          <w:szCs w:val="24"/>
        </w:rPr>
        <w:t xml:space="preserve">and </w:t>
      </w:r>
      <w:r w:rsidRPr="00892CB3">
        <w:rPr>
          <w:rFonts w:ascii="Times New Roman" w:hAnsi="Times New Roman" w:cs="Times New Roman"/>
          <w:sz w:val="24"/>
          <w:szCs w:val="24"/>
        </w:rPr>
        <w:t>P</w:t>
      </w:r>
      <w:r w:rsidRPr="00C22A3A">
        <w:rPr>
          <w:rFonts w:ascii="Times New Roman" w:hAnsi="Times New Roman" w:cs="Times New Roman"/>
          <w:sz w:val="24"/>
          <w:szCs w:val="24"/>
        </w:rPr>
        <w:t xml:space="preserve"> shown), but </w:t>
      </w:r>
      <w:r w:rsidR="00B95070">
        <w:rPr>
          <w:rFonts w:ascii="Times New Roman" w:hAnsi="Times New Roman" w:cs="Times New Roman"/>
          <w:sz w:val="24"/>
          <w:szCs w:val="24"/>
        </w:rPr>
        <w:t>those</w:t>
      </w:r>
      <w:r w:rsidRPr="00C22A3A">
        <w:rPr>
          <w:rFonts w:ascii="Times New Roman" w:hAnsi="Times New Roman" w:cs="Times New Roman"/>
          <w:sz w:val="24"/>
          <w:szCs w:val="24"/>
        </w:rPr>
        <w:t xml:space="preserve"> for which variances were </w:t>
      </w:r>
      <w:proofErr w:type="spellStart"/>
      <w:r w:rsidRPr="00C22A3A">
        <w:rPr>
          <w:rFonts w:ascii="Times New Roman" w:hAnsi="Times New Roman" w:cs="Times New Roman"/>
          <w:sz w:val="24"/>
          <w:szCs w:val="24"/>
        </w:rPr>
        <w:t>heteroscedastic</w:t>
      </w:r>
      <w:proofErr w:type="spellEnd"/>
      <w:r w:rsidRPr="00C22A3A">
        <w:rPr>
          <w:rFonts w:ascii="Times New Roman" w:hAnsi="Times New Roman" w:cs="Times New Roman"/>
          <w:sz w:val="24"/>
          <w:szCs w:val="24"/>
        </w:rPr>
        <w:t xml:space="preserve"> were compared by non-parametric </w:t>
      </w:r>
      <w:proofErr w:type="spellStart"/>
      <w:r w:rsidRPr="00C22A3A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C22A3A">
        <w:rPr>
          <w:rFonts w:ascii="Times New Roman" w:hAnsi="Times New Roman" w:cs="Times New Roman"/>
          <w:sz w:val="24"/>
          <w:szCs w:val="24"/>
        </w:rPr>
        <w:t xml:space="preserve">-Wallis analyses (KW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22A3A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C22A3A">
        <w:rPr>
          <w:rFonts w:ascii="Times New Roman" w:hAnsi="Times New Roman" w:cs="Times New Roman"/>
          <w:sz w:val="24"/>
          <w:szCs w:val="24"/>
        </w:rPr>
        <w:t>-Wallis statistics shown in parentheses).</w:t>
      </w:r>
      <w:r w:rsidR="00B95070">
        <w:rPr>
          <w:rFonts w:ascii="Times New Roman" w:hAnsi="Times New Roman" w:cs="Times New Roman"/>
          <w:sz w:val="24"/>
          <w:szCs w:val="24"/>
        </w:rPr>
        <w:t xml:space="preserve">  Although Boron values would not differ significantly after </w:t>
      </w:r>
      <w:proofErr w:type="spellStart"/>
      <w:r w:rsidR="00B95070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B95070">
        <w:rPr>
          <w:rFonts w:ascii="Times New Roman" w:hAnsi="Times New Roman" w:cs="Times New Roman"/>
          <w:sz w:val="24"/>
          <w:szCs w:val="24"/>
        </w:rPr>
        <w:t xml:space="preserve"> correction, without correction those followed by the same superscript letter do not differ significantly by </w:t>
      </w:r>
      <w:proofErr w:type="spellStart"/>
      <w:r w:rsidR="00B95070">
        <w:rPr>
          <w:rFonts w:ascii="Times New Roman" w:hAnsi="Times New Roman" w:cs="Times New Roman"/>
          <w:sz w:val="24"/>
          <w:szCs w:val="24"/>
        </w:rPr>
        <w:t>Tukey’s</w:t>
      </w:r>
      <w:proofErr w:type="spellEnd"/>
      <w:r w:rsidR="00B95070">
        <w:rPr>
          <w:rFonts w:ascii="Times New Roman" w:hAnsi="Times New Roman" w:cs="Times New Roman"/>
          <w:sz w:val="24"/>
          <w:szCs w:val="24"/>
        </w:rPr>
        <w:t xml:space="preserve"> HSD test.</w:t>
      </w:r>
      <w:r w:rsidRPr="00C22A3A">
        <w:rPr>
          <w:rFonts w:ascii="Times New Roman" w:hAnsi="Times New Roman" w:cs="Times New Roman"/>
          <w:sz w:val="24"/>
          <w:szCs w:val="24"/>
        </w:rPr>
        <w:t xml:space="preserve">  </w:t>
      </w:r>
      <w:r w:rsidR="00B95070">
        <w:rPr>
          <w:rFonts w:ascii="Times New Roman" w:hAnsi="Times New Roman" w:cs="Times New Roman"/>
          <w:sz w:val="24"/>
          <w:szCs w:val="24"/>
        </w:rPr>
        <w:t>For both networked treatments</w:t>
      </w:r>
      <w:r w:rsidR="00B95070" w:rsidRPr="00C22A3A">
        <w:rPr>
          <w:rFonts w:ascii="Times New Roman" w:hAnsi="Times New Roman" w:cs="Times New Roman"/>
          <w:sz w:val="24"/>
          <w:szCs w:val="24"/>
        </w:rPr>
        <w:t xml:space="preserve">, n = </w:t>
      </w:r>
      <w:r w:rsidR="00B95070">
        <w:rPr>
          <w:rFonts w:ascii="Times New Roman" w:hAnsi="Times New Roman" w:cs="Times New Roman"/>
          <w:sz w:val="24"/>
          <w:szCs w:val="24"/>
        </w:rPr>
        <w:t>2; not fertilized, hyphae severed n = 3, and iron fertilized, hyphae severed n = 4.</w:t>
      </w:r>
    </w:p>
    <w:sectPr w:rsidR="000D4573" w:rsidRPr="0089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1"/>
    <w:rsid w:val="000D4573"/>
    <w:rsid w:val="001A5487"/>
    <w:rsid w:val="004819CC"/>
    <w:rsid w:val="004F6DCC"/>
    <w:rsid w:val="005B3FEE"/>
    <w:rsid w:val="006D7AC6"/>
    <w:rsid w:val="007163EA"/>
    <w:rsid w:val="00892CB3"/>
    <w:rsid w:val="00904517"/>
    <w:rsid w:val="00AA5061"/>
    <w:rsid w:val="00B171BF"/>
    <w:rsid w:val="00B309DD"/>
    <w:rsid w:val="00B5749E"/>
    <w:rsid w:val="00B95070"/>
    <w:rsid w:val="00BF390B"/>
    <w:rsid w:val="00C038B8"/>
    <w:rsid w:val="00E24A59"/>
    <w:rsid w:val="00F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6283-682F-4302-B610-2C6AA161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2012-12-19T22:34:00Z</dcterms:created>
  <dcterms:modified xsi:type="dcterms:W3CDTF">2013-01-26T15:25:00Z</dcterms:modified>
</cp:coreProperties>
</file>