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E0" w:rsidRPr="001B3DC9" w:rsidRDefault="002D54E0" w:rsidP="002D54E0">
      <w:pPr>
        <w:spacing w:line="480" w:lineRule="auto"/>
        <w:jc w:val="left"/>
        <w:rPr>
          <w:rFonts w:ascii="Times New Roman" w:eastAsia="궁서" w:hAnsi="Times New Roman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Times New Roman" w:eastAsia="궁서" w:hAnsi="Times New Roman" w:cs="Times New Roman"/>
          <w:b/>
          <w:color w:val="000000" w:themeColor="text1"/>
          <w:kern w:val="0"/>
          <w:sz w:val="24"/>
          <w:szCs w:val="24"/>
        </w:rPr>
        <w:t xml:space="preserve">Table </w:t>
      </w:r>
      <w:r>
        <w:rPr>
          <w:rFonts w:ascii="Times New Roman" w:eastAsia="궁서" w:hAnsi="Times New Roman" w:cs="Times New Roman" w:hint="eastAsia"/>
          <w:b/>
          <w:color w:val="000000" w:themeColor="text1"/>
          <w:kern w:val="0"/>
          <w:sz w:val="24"/>
          <w:szCs w:val="24"/>
        </w:rPr>
        <w:t>S1</w:t>
      </w:r>
      <w:r w:rsidRPr="001B3DC9">
        <w:rPr>
          <w:rFonts w:ascii="Times New Roman" w:eastAsia="궁서" w:hAnsi="Times New Roman" w:cs="Times New Roman"/>
          <w:b/>
          <w:color w:val="000000" w:themeColor="text1"/>
          <w:kern w:val="0"/>
          <w:sz w:val="24"/>
          <w:szCs w:val="24"/>
        </w:rPr>
        <w:t>. Risk factors for development of WRN</w:t>
      </w:r>
    </w:p>
    <w:tbl>
      <w:tblPr>
        <w:tblStyle w:val="a7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092"/>
        <w:gridCol w:w="142"/>
        <w:gridCol w:w="1553"/>
        <w:gridCol w:w="7"/>
        <w:gridCol w:w="1845"/>
        <w:gridCol w:w="935"/>
        <w:gridCol w:w="1760"/>
        <w:gridCol w:w="908"/>
      </w:tblGrid>
      <w:tr w:rsidR="002D54E0" w:rsidRPr="00EF6D7F" w:rsidTr="00AA2C84">
        <w:trPr>
          <w:trHeight w:val="442"/>
        </w:trPr>
        <w:tc>
          <w:tcPr>
            <w:tcW w:w="2053" w:type="pct"/>
            <w:gridSpan w:val="4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503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proofErr w:type="spellStart"/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Univariate</w:t>
            </w:r>
            <w:proofErr w:type="spellEnd"/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 xml:space="preserve"> Analysis</w:t>
            </w:r>
          </w:p>
        </w:tc>
        <w:tc>
          <w:tcPr>
            <w:tcW w:w="1444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Multivariate Analysis</w:t>
            </w: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  <w:vertAlign w:val="superscript"/>
              </w:rPr>
              <w:t>*</w:t>
            </w:r>
          </w:p>
        </w:tc>
      </w:tr>
      <w:tr w:rsidR="002D54E0" w:rsidRPr="00EF6D7F" w:rsidTr="00AA2C84">
        <w:trPr>
          <w:trHeight w:val="442"/>
        </w:trPr>
        <w:tc>
          <w:tcPr>
            <w:tcW w:w="2053" w:type="pct"/>
            <w:gridSpan w:val="4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98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OR (95% CI)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750354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i/>
                <w:color w:val="000000" w:themeColor="text1"/>
                <w:kern w:val="24"/>
                <w:szCs w:val="20"/>
              </w:rPr>
              <w:t>P</w:t>
            </w:r>
            <w:r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-value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OR (95% CI)</w:t>
            </w:r>
          </w:p>
        </w:tc>
        <w:tc>
          <w:tcPr>
            <w:tcW w:w="492" w:type="pct"/>
            <w:vAlign w:val="center"/>
            <w:hideMark/>
          </w:tcPr>
          <w:p w:rsidR="002D54E0" w:rsidRPr="00EF6D7F" w:rsidRDefault="00750354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i/>
                <w:color w:val="000000" w:themeColor="text1"/>
                <w:kern w:val="24"/>
                <w:szCs w:val="20"/>
              </w:rPr>
              <w:t>P</w:t>
            </w:r>
            <w:r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-value</w:t>
            </w:r>
          </w:p>
        </w:tc>
      </w:tr>
      <w:tr w:rsidR="002D54E0" w:rsidRPr="00EF6D7F" w:rsidTr="00AA2C84">
        <w:trPr>
          <w:trHeight w:val="442"/>
        </w:trPr>
        <w:tc>
          <w:tcPr>
            <w:tcW w:w="2053" w:type="pct"/>
            <w:gridSpan w:val="4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Male </w:t>
            </w:r>
          </w:p>
        </w:tc>
        <w:tc>
          <w:tcPr>
            <w:tcW w:w="998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szCs w:val="20"/>
              </w:rPr>
              <w:t xml:space="preserve">0.89 (0.70 – 1.15) 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szCs w:val="20"/>
              </w:rPr>
              <w:t>0.374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2053" w:type="pct"/>
            <w:gridSpan w:val="4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998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szCs w:val="20"/>
              </w:rPr>
              <w:t xml:space="preserve">1.01 (1.00 – 1.02) 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szCs w:val="20"/>
              </w:rPr>
              <w:t>0.028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2053" w:type="pct"/>
            <w:gridSpan w:val="4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Hypertension </w:t>
            </w:r>
          </w:p>
        </w:tc>
        <w:tc>
          <w:tcPr>
            <w:tcW w:w="998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szCs w:val="20"/>
              </w:rPr>
              <w:t xml:space="preserve">1.18 (0.84 – 1.66) 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szCs w:val="20"/>
              </w:rPr>
              <w:t>0.342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2053" w:type="pct"/>
            <w:gridSpan w:val="4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Diabetes mellitus </w:t>
            </w:r>
          </w:p>
        </w:tc>
        <w:tc>
          <w:tcPr>
            <w:tcW w:w="998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szCs w:val="20"/>
              </w:rPr>
              <w:t xml:space="preserve">1.26 (0.98 – 1.62) 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szCs w:val="20"/>
              </w:rPr>
              <w:t>0.070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2053" w:type="pct"/>
            <w:gridSpan w:val="4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Coronary artery disease</w:t>
            </w:r>
          </w:p>
        </w:tc>
        <w:tc>
          <w:tcPr>
            <w:tcW w:w="998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szCs w:val="20"/>
              </w:rPr>
              <w:t xml:space="preserve">1.35 (1.02 – 1.78) 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szCs w:val="20"/>
              </w:rPr>
              <w:t>0.035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2053" w:type="pct"/>
            <w:gridSpan w:val="4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Peripheral vascular disease</w:t>
            </w:r>
          </w:p>
        </w:tc>
        <w:tc>
          <w:tcPr>
            <w:tcW w:w="998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szCs w:val="20"/>
              </w:rPr>
              <w:t xml:space="preserve">1.39 (0.87 – 2.22) 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szCs w:val="20"/>
              </w:rPr>
              <w:t>0.168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2053" w:type="pct"/>
            <w:gridSpan w:val="4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Chronic liver disease</w:t>
            </w:r>
          </w:p>
        </w:tc>
        <w:tc>
          <w:tcPr>
            <w:tcW w:w="998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szCs w:val="20"/>
              </w:rPr>
              <w:t xml:space="preserve">1.18 (0.66 – 2.10) 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szCs w:val="20"/>
              </w:rPr>
              <w:t>0.586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2053" w:type="pct"/>
            <w:gridSpan w:val="4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Respiratory disease</w:t>
            </w:r>
          </w:p>
        </w:tc>
        <w:tc>
          <w:tcPr>
            <w:tcW w:w="998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szCs w:val="20"/>
              </w:rPr>
              <w:t xml:space="preserve">1.01 (0.69 – 1.46) 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szCs w:val="20"/>
              </w:rPr>
              <w:t>0.980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2053" w:type="pct"/>
            <w:gridSpan w:val="4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proofErr w:type="spellStart"/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Atrial</w:t>
            </w:r>
            <w:proofErr w:type="spellEnd"/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 xml:space="preserve"> fibrillation</w:t>
            </w:r>
          </w:p>
        </w:tc>
        <w:tc>
          <w:tcPr>
            <w:tcW w:w="998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szCs w:val="20"/>
              </w:rPr>
              <w:t xml:space="preserve">0.58 (0.45 – 0.75) 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56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 (0.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40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 – 0.8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0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) </w:t>
            </w: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0.001 </w:t>
            </w:r>
          </w:p>
        </w:tc>
      </w:tr>
      <w:tr w:rsidR="002D54E0" w:rsidRPr="00EF6D7F" w:rsidTr="00AA2C84">
        <w:trPr>
          <w:trHeight w:val="442"/>
        </w:trPr>
        <w:tc>
          <w:tcPr>
            <w:tcW w:w="2053" w:type="pct"/>
            <w:gridSpan w:val="4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Deep vein thrombosis</w:t>
            </w:r>
          </w:p>
        </w:tc>
        <w:tc>
          <w:tcPr>
            <w:tcW w:w="998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1.33 (0.95 – 1.85) 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0.097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2053" w:type="pct"/>
            <w:gridSpan w:val="4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Pulmonary embolism </w:t>
            </w:r>
          </w:p>
        </w:tc>
        <w:tc>
          <w:tcPr>
            <w:tcW w:w="998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0.98 (0.66 – 1.44) 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0.915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2053" w:type="pct"/>
            <w:gridSpan w:val="4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proofErr w:type="spellStart"/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Valvular</w:t>
            </w:r>
            <w:proofErr w:type="spellEnd"/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 xml:space="preserve"> disease</w:t>
            </w:r>
          </w:p>
        </w:tc>
        <w:tc>
          <w:tcPr>
            <w:tcW w:w="998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1.22 (0.91 – 1.64) 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0.176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2053" w:type="pct"/>
            <w:gridSpan w:val="4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proofErr w:type="spellStart"/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Cerebrovascular</w:t>
            </w:r>
            <w:proofErr w:type="spellEnd"/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 xml:space="preserve"> attack</w:t>
            </w:r>
          </w:p>
        </w:tc>
        <w:tc>
          <w:tcPr>
            <w:tcW w:w="998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0.83 (0.65 – 1.07) 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0.160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2053" w:type="pct"/>
            <w:gridSpan w:val="4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Thyroid disease</w:t>
            </w:r>
          </w:p>
        </w:tc>
        <w:tc>
          <w:tcPr>
            <w:tcW w:w="998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0.73 (0.41 – 1.30) 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0.279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2053" w:type="pct"/>
            <w:gridSpan w:val="4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Malignancy</w:t>
            </w:r>
          </w:p>
        </w:tc>
        <w:tc>
          <w:tcPr>
            <w:tcW w:w="998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1.08 (0.80 – 1.44) 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0.632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2053" w:type="pct"/>
            <w:gridSpan w:val="4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Congestive heart failure</w:t>
            </w:r>
          </w:p>
        </w:tc>
        <w:tc>
          <w:tcPr>
            <w:tcW w:w="998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1.49 (1.16 – 1.92) 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0.002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1.6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4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 (1.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19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 – 2.2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5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) </w:t>
            </w: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0.00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2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 </w:t>
            </w:r>
          </w:p>
        </w:tc>
      </w:tr>
      <w:tr w:rsidR="002D54E0" w:rsidRPr="00EF6D7F" w:rsidTr="00AA2C84">
        <w:trPr>
          <w:trHeight w:val="442"/>
        </w:trPr>
        <w:tc>
          <w:tcPr>
            <w:tcW w:w="1209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Chronic kidney disease </w:t>
            </w:r>
          </w:p>
        </w:tc>
        <w:tc>
          <w:tcPr>
            <w:tcW w:w="843" w:type="pct"/>
            <w:gridSpan w:val="2"/>
            <w:vAlign w:val="center"/>
            <w:hideMark/>
          </w:tcPr>
          <w:p w:rsidR="002D54E0" w:rsidRPr="00EF6D7F" w:rsidRDefault="007A5AC1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궁서" w:hAnsi="Times New Roman" w:cs="Times New Roman"/>
                <w:bCs/>
                <w:color w:val="000000" w:themeColor="text1"/>
                <w:szCs w:val="20"/>
              </w:rPr>
              <w:t xml:space="preserve">Stage 1 </w:t>
            </w:r>
            <w:r>
              <w:rPr>
                <w:rFonts w:ascii="Times New Roman" w:eastAsia="궁서" w:hAnsi="Times New Roman" w:cs="Times New Roman" w:hint="eastAsia"/>
                <w:bCs/>
                <w:color w:val="000000" w:themeColor="text1"/>
                <w:szCs w:val="20"/>
              </w:rPr>
              <w:t>-</w:t>
            </w:r>
            <w:r w:rsidR="002D54E0" w:rsidRPr="00EF6D7F">
              <w:rPr>
                <w:rFonts w:ascii="Times New Roman" w:eastAsia="궁서" w:hAnsi="Times New Roman" w:cs="Times New Roman"/>
                <w:bCs/>
                <w:color w:val="000000" w:themeColor="text1"/>
                <w:szCs w:val="20"/>
              </w:rPr>
              <w:t xml:space="preserve"> 2</w:t>
            </w:r>
          </w:p>
        </w:tc>
        <w:tc>
          <w:tcPr>
            <w:tcW w:w="998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Reference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209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843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szCs w:val="20"/>
              </w:rPr>
              <w:t>Stage 3</w:t>
            </w:r>
          </w:p>
        </w:tc>
        <w:tc>
          <w:tcPr>
            <w:tcW w:w="998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1.33 (1.00-1.78)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0.051</w:t>
            </w:r>
          </w:p>
        </w:tc>
        <w:tc>
          <w:tcPr>
            <w:tcW w:w="952" w:type="pct"/>
            <w:vAlign w:val="center"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209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843" w:type="pct"/>
            <w:gridSpan w:val="2"/>
            <w:vAlign w:val="center"/>
            <w:hideMark/>
          </w:tcPr>
          <w:p w:rsidR="002D54E0" w:rsidRPr="00EF6D7F" w:rsidRDefault="002D54E0" w:rsidP="007A5AC1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szCs w:val="20"/>
              </w:rPr>
              <w:t xml:space="preserve">Stage 4 </w:t>
            </w:r>
            <w:r w:rsidR="007A5AC1">
              <w:rPr>
                <w:rFonts w:ascii="Times New Roman" w:eastAsia="궁서" w:hAnsi="Times New Roman" w:cs="Times New Roman" w:hint="eastAsia"/>
                <w:bCs/>
                <w:color w:val="000000" w:themeColor="text1"/>
                <w:szCs w:val="20"/>
              </w:rPr>
              <w:t>-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szCs w:val="20"/>
              </w:rPr>
              <w:t xml:space="preserve"> 5</w:t>
            </w:r>
          </w:p>
        </w:tc>
        <w:tc>
          <w:tcPr>
            <w:tcW w:w="998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2.59 (1.67-4.02)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&lt;0.001</w:t>
            </w:r>
          </w:p>
        </w:tc>
        <w:tc>
          <w:tcPr>
            <w:tcW w:w="952" w:type="pct"/>
            <w:vAlign w:val="center"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proofErr w:type="spellStart"/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Prothrombin</w:t>
            </w:r>
            <w:proofErr w:type="spellEnd"/>
            <w:r w:rsidRPr="00EF6D7F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time</w:t>
            </w:r>
            <w:r w:rsidRPr="00EF6D7F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 xml:space="preserve"> (</w:t>
            </w: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at INR </w:t>
            </w: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&gt; 3.0)</w:t>
            </w: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1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st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[3.01 – 3.18]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Reference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2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nd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[3.19 – 3.44]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1.15 (0.79- 1.68)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0.459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3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rd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[3.45 – 3.98]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1.09 (0.74- 1.61)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0.653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4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th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[3.99 – 12.65]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1.41 (1.00- 2.00)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0.053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AA2C84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AA2C84" w:rsidRPr="00EF6D7F" w:rsidRDefault="00AA2C84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proofErr w:type="spellStart"/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Prothrombin</w:t>
            </w:r>
            <w:proofErr w:type="spellEnd"/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 time</w:t>
            </w:r>
            <w:r w:rsidRPr="00EF6D7F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(baseline) </w:t>
            </w:r>
          </w:p>
        </w:tc>
        <w:tc>
          <w:tcPr>
            <w:tcW w:w="917" w:type="pct"/>
            <w:gridSpan w:val="2"/>
            <w:vAlign w:val="center"/>
            <w:hideMark/>
          </w:tcPr>
          <w:p w:rsidR="00AA2C84" w:rsidRPr="00EF6D7F" w:rsidRDefault="00AA2C84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1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st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[0.80 – 1.18]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AA2C84" w:rsidRPr="00EF6D7F" w:rsidRDefault="00AA2C84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Reference</w:t>
            </w:r>
          </w:p>
        </w:tc>
        <w:tc>
          <w:tcPr>
            <w:tcW w:w="506" w:type="pct"/>
            <w:vAlign w:val="center"/>
            <w:hideMark/>
          </w:tcPr>
          <w:p w:rsidR="00AA2C84" w:rsidRPr="00EF6D7F" w:rsidRDefault="00AA2C84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52" w:type="pct"/>
            <w:vAlign w:val="center"/>
            <w:hideMark/>
          </w:tcPr>
          <w:p w:rsidR="00AA2C84" w:rsidRPr="00EF6D7F" w:rsidRDefault="00AA2C84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AA2C84" w:rsidRPr="00EF6D7F" w:rsidRDefault="00AA2C84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AA2C84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AA2C84" w:rsidRPr="00EF6D7F" w:rsidRDefault="00AA2C84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AA2C84" w:rsidRPr="00EF6D7F" w:rsidRDefault="00AA2C84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2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nd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[1.19 – 1.47]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AA2C84" w:rsidRPr="00EF6D7F" w:rsidRDefault="00AA2C84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0.89 (0.63- 1.27)</w:t>
            </w:r>
          </w:p>
        </w:tc>
        <w:tc>
          <w:tcPr>
            <w:tcW w:w="506" w:type="pct"/>
            <w:vAlign w:val="center"/>
            <w:hideMark/>
          </w:tcPr>
          <w:p w:rsidR="00AA2C84" w:rsidRPr="00EF6D7F" w:rsidRDefault="00AA2C84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0.527</w:t>
            </w:r>
          </w:p>
        </w:tc>
        <w:tc>
          <w:tcPr>
            <w:tcW w:w="952" w:type="pct"/>
            <w:vAlign w:val="center"/>
            <w:hideMark/>
          </w:tcPr>
          <w:p w:rsidR="00AA2C84" w:rsidRPr="00EF6D7F" w:rsidRDefault="00AA2C84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AA2C84" w:rsidRPr="00EF6D7F" w:rsidRDefault="00AA2C84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3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rd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[1.48 – 2.09]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0.69 (0.49-0.98)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0.040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4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th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[2.10 – 2.99]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0.63 (0.44- 0.90)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0.010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Serum calcium</w:t>
            </w:r>
            <w:r w:rsidRPr="00EF6D7F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(baseline)</w:t>
            </w: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1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st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[6.0 – 7.9]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Reference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Reference</w:t>
            </w: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2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nd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[8.0 – 8.4]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0.64 (0.46-0.88)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0.006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1.06 (0.72-1.57)</w:t>
            </w: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0.764</w:t>
            </w: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3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rd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[8.5 – 8.8]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0.30 (0.20-0.44)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&lt;0.001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0.87 (0.35-0.94)</w:t>
            </w: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0.026</w:t>
            </w: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4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th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[8.9 – 10.9]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0.26 (0.18-0.38)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&lt;0.001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0.64 (0.38-1.08)</w:t>
            </w: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0.092</w:t>
            </w: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Serum phosphorus</w:t>
            </w:r>
            <w:r w:rsidRPr="00EF6D7F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 xml:space="preserve"> (</w:t>
            </w: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baseline)</w:t>
            </w: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1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st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[0.9 – 2.8]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Reference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2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nd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[2.9 – 3.2]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0.65 (0.45 - 0.93)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0.017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3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rd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[3.3 – 3.7]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0.65 (0.47 - 0.91)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0.012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4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th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[3.8 – 9.9]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0.63 (0.44 - 0.90)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0.012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Serum protein</w:t>
            </w:r>
            <w:r w:rsidRPr="00EF6D7F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(baseline)</w:t>
            </w: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1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st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[3.5 – 5.8]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Reference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2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nd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[5.9 – 6.4]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0.40 (0.28 - 0.57)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&lt;0.001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3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rd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[6.5 – 7.0]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0.33 (0.23 - 0.47)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&lt;0.001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4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th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[7.1 – 8.7]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0.21 (0.14 - 0.31)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&lt;0.001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Serum albumin</w:t>
            </w:r>
            <w:r w:rsidRPr="00EF6D7F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 xml:space="preserve"> (b</w:t>
            </w: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aseline)</w:t>
            </w: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1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st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[1.1 – 3.1]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Reference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Reference</w:t>
            </w: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2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nd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[3.2 – 3.6]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0.43 (0.31 - 0.61)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&lt;0.001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46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 (0.3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1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- 0.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67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)</w:t>
            </w: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&lt;0.001</w:t>
            </w: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3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rd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[3.7 – 4.0]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0.26 (0.18 - 0.38)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&lt;0.001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27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 (0.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18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-0.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42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)</w:t>
            </w: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&lt;0.001</w:t>
            </w: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4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th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[4.1 – 5.3]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0.15 (0.10 - 0.22)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&lt;0.001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19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 (0.1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2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-0.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30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)</w:t>
            </w: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&lt;0.001</w:t>
            </w: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Serum cholesterol</w:t>
            </w:r>
            <w:r w:rsidRPr="00EF6D7F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  <w:r w:rsidRPr="00EF6D7F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(baseline)</w:t>
            </w: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1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st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[35 – 118]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Reference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2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nd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[119 – 151]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0.72 (0.49-1.04)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0.082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3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rd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[152 – 182]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0.58 (0.40- 0.83)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0.003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4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th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[183 – 334]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0.39 (0.26-0.59)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&lt;0.001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 w:hint="eastAsia"/>
                <w:b/>
                <w:color w:val="000000" w:themeColor="text1"/>
                <w:kern w:val="0"/>
                <w:szCs w:val="20"/>
              </w:rPr>
              <w:t>ALP</w:t>
            </w:r>
          </w:p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 w:hint="eastAsia"/>
                <w:b/>
                <w:color w:val="000000" w:themeColor="text1"/>
                <w:kern w:val="0"/>
                <w:szCs w:val="20"/>
              </w:rPr>
              <w:t>(baseline)</w:t>
            </w: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1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st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20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– 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61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Reference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2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nd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[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62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– 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78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1.06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 (0.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69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-1.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61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792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3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rd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79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– 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102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1.61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 (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1.09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- 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2.38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0.0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17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4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th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103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– 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588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2.03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 (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1.38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-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2.99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&lt;0.001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 w:hint="eastAsia"/>
                <w:b/>
                <w:color w:val="000000" w:themeColor="text1"/>
                <w:kern w:val="0"/>
                <w:szCs w:val="20"/>
              </w:rPr>
              <w:t>AST (GOT)</w:t>
            </w:r>
          </w:p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 w:hint="eastAsia"/>
                <w:b/>
                <w:color w:val="000000" w:themeColor="text1"/>
                <w:kern w:val="0"/>
                <w:szCs w:val="20"/>
              </w:rPr>
              <w:t>(at INR&gt;3.0)</w:t>
            </w: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1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st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7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– 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19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Reference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Reference</w:t>
            </w: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2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nd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[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20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– 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25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1.03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 (0.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67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-1.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57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908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1.12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 (0.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70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- 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1.79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)</w:t>
            </w: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0.646</w:t>
            </w: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3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rd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26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– 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37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1.12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 (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0.74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- 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1.70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595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1.43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 (0.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90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-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2.27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)</w:t>
            </w: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0.130</w:t>
            </w: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4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th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38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– 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7002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2.69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 (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1.86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-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3.88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&lt;0.001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2.29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 (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1.51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-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3.46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)</w:t>
            </w: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&lt;0.001</w:t>
            </w: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 w:hint="eastAsia"/>
                <w:b/>
                <w:color w:val="000000" w:themeColor="text1"/>
                <w:kern w:val="0"/>
                <w:szCs w:val="20"/>
              </w:rPr>
              <w:t>ALT (GPT)</w:t>
            </w:r>
          </w:p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 w:hint="eastAsia"/>
                <w:b/>
                <w:color w:val="000000" w:themeColor="text1"/>
                <w:kern w:val="0"/>
                <w:szCs w:val="20"/>
              </w:rPr>
              <w:lastRenderedPageBreak/>
              <w:t>(at INR&gt;3.0)</w:t>
            </w: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lastRenderedPageBreak/>
              <w:t>1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st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3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– 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14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Reference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2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nd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[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15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– 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21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0.74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 (0.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50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-1.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10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142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3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rd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22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– 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36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0.86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 (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0.58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- 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1.27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0.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447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2D54E0" w:rsidRPr="00EF6D7F" w:rsidTr="00AA2C84">
        <w:trPr>
          <w:trHeight w:val="442"/>
        </w:trPr>
        <w:tc>
          <w:tcPr>
            <w:tcW w:w="113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17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4</w:t>
            </w:r>
            <w:proofErr w:type="spellStart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position w:val="9"/>
                <w:szCs w:val="20"/>
                <w:vertAlign w:val="superscript"/>
              </w:rPr>
              <w:t>th</w:t>
            </w:r>
            <w:proofErr w:type="spellEnd"/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[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37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 xml:space="preserve"> – </w:t>
            </w:r>
            <w:r w:rsidRPr="00EF6D7F">
              <w:rPr>
                <w:rFonts w:ascii="Times New Roman" w:eastAsia="궁서" w:hAnsi="Times New Roman" w:cs="Times New Roman" w:hint="eastAsia"/>
                <w:bCs/>
                <w:color w:val="000000" w:themeColor="text1"/>
                <w:kern w:val="24"/>
                <w:szCs w:val="20"/>
              </w:rPr>
              <w:t>6800</w:t>
            </w:r>
            <w:r w:rsidRPr="00EF6D7F">
              <w:rPr>
                <w:rFonts w:ascii="Times New Roman" w:eastAsia="궁서" w:hAnsi="Times New Roman" w:cs="Times New Roman"/>
                <w:bCs/>
                <w:color w:val="000000" w:themeColor="text1"/>
                <w:kern w:val="24"/>
                <w:szCs w:val="20"/>
              </w:rPr>
              <w:t>]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1.62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 xml:space="preserve"> (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1.13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-</w:t>
            </w: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2.31</w:t>
            </w:r>
            <w:r w:rsidRPr="00EF6D7F">
              <w:rPr>
                <w:rFonts w:ascii="Times New Roman" w:eastAsia="궁서" w:hAnsi="Times New Roman" w:cs="Times New Roman"/>
                <w:color w:val="000000" w:themeColor="text1"/>
                <w:kern w:val="24"/>
                <w:szCs w:val="20"/>
              </w:rPr>
              <w:t>)</w:t>
            </w:r>
          </w:p>
        </w:tc>
        <w:tc>
          <w:tcPr>
            <w:tcW w:w="506" w:type="pct"/>
            <w:vAlign w:val="center"/>
            <w:hideMark/>
          </w:tcPr>
          <w:p w:rsidR="002D54E0" w:rsidRPr="00EF6D7F" w:rsidRDefault="002D54E0" w:rsidP="00AA2C84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F6D7F">
              <w:rPr>
                <w:rFonts w:ascii="Times New Roman" w:eastAsia="궁서" w:hAnsi="Times New Roman" w:cs="Times New Roman" w:hint="eastAsia"/>
                <w:color w:val="000000" w:themeColor="text1"/>
                <w:kern w:val="24"/>
                <w:szCs w:val="20"/>
              </w:rPr>
              <w:t>0.008</w:t>
            </w:r>
          </w:p>
        </w:tc>
        <w:tc>
          <w:tcPr>
            <w:tcW w:w="95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:rsidR="002D54E0" w:rsidRPr="00EF6D7F" w:rsidRDefault="002D54E0" w:rsidP="00AA2C84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</w:tbl>
    <w:p w:rsidR="002D54E0" w:rsidRPr="00EF6D7F" w:rsidRDefault="002D54E0" w:rsidP="002D54E0">
      <w:pPr>
        <w:jc w:val="left"/>
        <w:rPr>
          <w:rFonts w:ascii="Times New Roman" w:eastAsia="궁서" w:hAnsi="Times New Roman" w:cs="Times New Roman"/>
          <w:color w:val="000000" w:themeColor="text1"/>
          <w:kern w:val="0"/>
          <w:szCs w:val="20"/>
        </w:rPr>
      </w:pPr>
      <w:r w:rsidRPr="00EF6D7F">
        <w:rPr>
          <w:rFonts w:ascii="Times New Roman" w:eastAsia="궁서" w:hAnsi="Times New Roman" w:cs="Times New Roman"/>
          <w:color w:val="000000" w:themeColor="text1"/>
          <w:kern w:val="0"/>
          <w:szCs w:val="20"/>
          <w:vertAlign w:val="superscript"/>
        </w:rPr>
        <w:t xml:space="preserve">* </w:t>
      </w:r>
      <w:r w:rsidRPr="00EF6D7F">
        <w:rPr>
          <w:rFonts w:ascii="Times New Roman" w:eastAsia="궁서" w:hAnsi="Times New Roman" w:cs="Times New Roman" w:hint="eastAsia"/>
          <w:color w:val="000000" w:themeColor="text1"/>
          <w:kern w:val="0"/>
          <w:szCs w:val="20"/>
        </w:rPr>
        <w:t>Covariates</w:t>
      </w:r>
      <w:r w:rsidRPr="00EF6D7F">
        <w:rPr>
          <w:rFonts w:ascii="Times New Roman" w:eastAsia="궁서" w:hAnsi="Times New Roman" w:cs="Times New Roman"/>
          <w:color w:val="000000" w:themeColor="text1"/>
          <w:kern w:val="0"/>
          <w:szCs w:val="20"/>
        </w:rPr>
        <w:t xml:space="preserve">: gender, age, </w:t>
      </w:r>
      <w:proofErr w:type="spellStart"/>
      <w:r w:rsidRPr="00EF6D7F">
        <w:rPr>
          <w:rFonts w:ascii="Times New Roman" w:eastAsia="궁서" w:hAnsi="Times New Roman" w:cs="Times New Roman"/>
          <w:color w:val="000000" w:themeColor="text1"/>
          <w:kern w:val="0"/>
          <w:szCs w:val="20"/>
        </w:rPr>
        <w:t>comorbidities</w:t>
      </w:r>
      <w:proofErr w:type="spellEnd"/>
      <w:r w:rsidRPr="00EF6D7F">
        <w:rPr>
          <w:rFonts w:ascii="Times New Roman" w:eastAsia="궁서" w:hAnsi="Times New Roman" w:cs="Times New Roman"/>
          <w:color w:val="000000" w:themeColor="text1"/>
          <w:kern w:val="0"/>
          <w:szCs w:val="20"/>
        </w:rPr>
        <w:t xml:space="preserve"> including diabetes mellitus, coronary artery disease, </w:t>
      </w:r>
      <w:proofErr w:type="spellStart"/>
      <w:r w:rsidRPr="00EF6D7F">
        <w:rPr>
          <w:rFonts w:ascii="Times New Roman" w:eastAsia="궁서" w:hAnsi="Times New Roman" w:cs="Times New Roman"/>
          <w:color w:val="000000" w:themeColor="text1"/>
          <w:kern w:val="0"/>
          <w:szCs w:val="20"/>
        </w:rPr>
        <w:t>atrial</w:t>
      </w:r>
      <w:proofErr w:type="spellEnd"/>
      <w:r w:rsidRPr="00EF6D7F">
        <w:rPr>
          <w:rFonts w:ascii="Times New Roman" w:eastAsia="궁서" w:hAnsi="Times New Roman" w:cs="Times New Roman"/>
          <w:color w:val="000000" w:themeColor="text1"/>
          <w:kern w:val="0"/>
          <w:szCs w:val="20"/>
        </w:rPr>
        <w:t xml:space="preserve"> fibrillation, deep vein thrombosis, congestive heart failure, and CKD stage, and laboratory findings including INR at baseline and at INR &gt; 3.0, baseline serum calcium, phosphorus, protein, albumin, cholesterol</w:t>
      </w:r>
      <w:r w:rsidRPr="00EF6D7F">
        <w:rPr>
          <w:rFonts w:ascii="Times New Roman" w:eastAsia="궁서" w:hAnsi="Times New Roman" w:cs="Times New Roman" w:hint="eastAsia"/>
          <w:color w:val="000000" w:themeColor="text1"/>
          <w:kern w:val="0"/>
          <w:szCs w:val="20"/>
        </w:rPr>
        <w:t xml:space="preserve">, and alkaline </w:t>
      </w:r>
      <w:proofErr w:type="spellStart"/>
      <w:r w:rsidRPr="00EF6D7F">
        <w:rPr>
          <w:rFonts w:ascii="Times New Roman" w:eastAsia="궁서" w:hAnsi="Times New Roman" w:cs="Times New Roman" w:hint="eastAsia"/>
          <w:color w:val="000000" w:themeColor="text1"/>
          <w:kern w:val="0"/>
          <w:szCs w:val="20"/>
        </w:rPr>
        <w:t>phosphatase</w:t>
      </w:r>
      <w:proofErr w:type="spellEnd"/>
      <w:r w:rsidRPr="00EF6D7F">
        <w:rPr>
          <w:rFonts w:ascii="Times New Roman" w:eastAsia="궁서" w:hAnsi="Times New Roman" w:cs="Times New Roman"/>
          <w:color w:val="000000" w:themeColor="text1"/>
          <w:kern w:val="0"/>
          <w:szCs w:val="20"/>
        </w:rPr>
        <w:t xml:space="preserve"> level.</w:t>
      </w:r>
    </w:p>
    <w:p w:rsidR="002D54E0" w:rsidRPr="00EF6D7F" w:rsidRDefault="002D54E0" w:rsidP="002D54E0">
      <w:pPr>
        <w:jc w:val="left"/>
        <w:rPr>
          <w:rStyle w:val="a6"/>
          <w:rFonts w:ascii="Times New Roman" w:eastAsia="궁서" w:hAnsi="Times New Roman" w:cs="Times New Roman"/>
          <w:b w:val="0"/>
          <w:color w:val="000000" w:themeColor="text1"/>
          <w:szCs w:val="20"/>
        </w:rPr>
      </w:pPr>
      <w:r w:rsidRPr="00EF6D7F">
        <w:rPr>
          <w:rFonts w:ascii="Times New Roman" w:eastAsia="궁서" w:hAnsi="Times New Roman" w:cs="Times New Roman"/>
          <w:bCs/>
          <w:color w:val="000000" w:themeColor="text1"/>
          <w:szCs w:val="20"/>
        </w:rPr>
        <w:t>OR, odds ratio; CI, confidence interval</w:t>
      </w:r>
    </w:p>
    <w:p w:rsidR="002D54E0" w:rsidRPr="002D54E0" w:rsidRDefault="002D54E0" w:rsidP="00587F41">
      <w:pPr>
        <w:spacing w:line="480" w:lineRule="auto"/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2D54E0" w:rsidRDefault="002D54E0" w:rsidP="00587F41">
      <w:pPr>
        <w:spacing w:line="480" w:lineRule="auto"/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2D54E0" w:rsidRDefault="002D54E0" w:rsidP="00587F41">
      <w:pPr>
        <w:spacing w:line="480" w:lineRule="auto"/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2D54E0" w:rsidRDefault="002D54E0" w:rsidP="00587F41">
      <w:pPr>
        <w:spacing w:line="480" w:lineRule="auto"/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2D54E0" w:rsidRDefault="002D54E0" w:rsidP="00587F41">
      <w:pPr>
        <w:spacing w:line="480" w:lineRule="auto"/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2D54E0" w:rsidRDefault="002D54E0" w:rsidP="00587F41">
      <w:pPr>
        <w:spacing w:line="480" w:lineRule="auto"/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2D54E0" w:rsidRDefault="002D54E0" w:rsidP="00587F41">
      <w:pPr>
        <w:spacing w:line="480" w:lineRule="auto"/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2D54E0" w:rsidRDefault="002D54E0" w:rsidP="00587F41">
      <w:pPr>
        <w:spacing w:line="480" w:lineRule="auto"/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2D54E0" w:rsidRDefault="002D54E0" w:rsidP="00587F41">
      <w:pPr>
        <w:spacing w:line="480" w:lineRule="auto"/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2D54E0" w:rsidRDefault="002D54E0" w:rsidP="00587F41">
      <w:pPr>
        <w:spacing w:line="480" w:lineRule="auto"/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2D54E0" w:rsidRDefault="002D54E0" w:rsidP="00587F41">
      <w:pPr>
        <w:spacing w:line="480" w:lineRule="auto"/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2D54E0" w:rsidRDefault="002D54E0" w:rsidP="00587F41">
      <w:pPr>
        <w:spacing w:line="480" w:lineRule="auto"/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2D54E0" w:rsidRDefault="002D54E0" w:rsidP="00587F41">
      <w:pPr>
        <w:spacing w:line="480" w:lineRule="auto"/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2D54E0" w:rsidRDefault="002D54E0" w:rsidP="00587F41">
      <w:pPr>
        <w:spacing w:line="480" w:lineRule="auto"/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2D54E0" w:rsidRDefault="002D54E0" w:rsidP="00587F41">
      <w:pPr>
        <w:spacing w:line="480" w:lineRule="auto"/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2D54E0" w:rsidRDefault="002D54E0" w:rsidP="00587F41">
      <w:pPr>
        <w:spacing w:line="480" w:lineRule="auto"/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2D54E0" w:rsidRDefault="002D54E0" w:rsidP="00587F41">
      <w:pPr>
        <w:spacing w:line="480" w:lineRule="auto"/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2D54E0" w:rsidRDefault="002D54E0" w:rsidP="00587F41">
      <w:pPr>
        <w:spacing w:line="480" w:lineRule="auto"/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2D54E0" w:rsidRDefault="002D54E0" w:rsidP="00587F41">
      <w:pPr>
        <w:spacing w:line="480" w:lineRule="auto"/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sectPr w:rsidR="002D54E0" w:rsidSect="008B17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2A8" w:rsidRDefault="00D062A8" w:rsidP="00790E1A">
      <w:r>
        <w:separator/>
      </w:r>
    </w:p>
  </w:endnote>
  <w:endnote w:type="continuationSeparator" w:id="0">
    <w:p w:rsidR="00D062A8" w:rsidRDefault="00D062A8" w:rsidP="00790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2A8" w:rsidRDefault="00D062A8" w:rsidP="00790E1A">
      <w:r>
        <w:separator/>
      </w:r>
    </w:p>
  </w:footnote>
  <w:footnote w:type="continuationSeparator" w:id="0">
    <w:p w:rsidR="00D062A8" w:rsidRDefault="00D062A8" w:rsidP="00790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6A0"/>
    <w:multiLevelType w:val="hybridMultilevel"/>
    <w:tmpl w:val="5762AE4A"/>
    <w:lvl w:ilvl="0" w:tplc="04090019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76C"/>
    <w:rsid w:val="00000634"/>
    <w:rsid w:val="00057212"/>
    <w:rsid w:val="0015062B"/>
    <w:rsid w:val="00165A23"/>
    <w:rsid w:val="001B6249"/>
    <w:rsid w:val="001F5724"/>
    <w:rsid w:val="00230ED9"/>
    <w:rsid w:val="002D54E0"/>
    <w:rsid w:val="003B79F5"/>
    <w:rsid w:val="003B7E0B"/>
    <w:rsid w:val="004B3E5E"/>
    <w:rsid w:val="004E2BBE"/>
    <w:rsid w:val="0054516F"/>
    <w:rsid w:val="00587F41"/>
    <w:rsid w:val="005A1328"/>
    <w:rsid w:val="006C56A4"/>
    <w:rsid w:val="00750354"/>
    <w:rsid w:val="00790E1A"/>
    <w:rsid w:val="007A5AC1"/>
    <w:rsid w:val="00810A5F"/>
    <w:rsid w:val="00827B87"/>
    <w:rsid w:val="008B17EA"/>
    <w:rsid w:val="00952E32"/>
    <w:rsid w:val="00AA2C84"/>
    <w:rsid w:val="00AF72E4"/>
    <w:rsid w:val="00B27E5B"/>
    <w:rsid w:val="00B65D5D"/>
    <w:rsid w:val="00C10FF4"/>
    <w:rsid w:val="00C32121"/>
    <w:rsid w:val="00C67C5E"/>
    <w:rsid w:val="00C744B6"/>
    <w:rsid w:val="00D062A8"/>
    <w:rsid w:val="00D44904"/>
    <w:rsid w:val="00EC33C5"/>
    <w:rsid w:val="00F4276C"/>
    <w:rsid w:val="00F9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4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41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790E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90E1A"/>
  </w:style>
  <w:style w:type="paragraph" w:styleId="a5">
    <w:name w:val="footer"/>
    <w:basedOn w:val="a"/>
    <w:link w:val="Char0"/>
    <w:uiPriority w:val="99"/>
    <w:semiHidden/>
    <w:unhideWhenUsed/>
    <w:rsid w:val="00790E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90E1A"/>
  </w:style>
  <w:style w:type="character" w:styleId="a6">
    <w:name w:val="Strong"/>
    <w:basedOn w:val="a0"/>
    <w:uiPriority w:val="22"/>
    <w:qFormat/>
    <w:rsid w:val="002D54E0"/>
    <w:rPr>
      <w:b/>
      <w:bCs/>
    </w:rPr>
  </w:style>
  <w:style w:type="table" w:styleId="a7">
    <w:name w:val="Table Grid"/>
    <w:basedOn w:val="a1"/>
    <w:uiPriority w:val="59"/>
    <w:rsid w:val="002D54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snubh</dc:creator>
  <cp:lastModifiedBy>snubh</cp:lastModifiedBy>
  <cp:revision>2</cp:revision>
  <cp:lastPrinted>2013-02-14T10:14:00Z</cp:lastPrinted>
  <dcterms:created xsi:type="dcterms:W3CDTF">2013-03-08T11:36:00Z</dcterms:created>
  <dcterms:modified xsi:type="dcterms:W3CDTF">2013-03-08T11:36:00Z</dcterms:modified>
</cp:coreProperties>
</file>