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19" w:rsidRDefault="009F1212" w:rsidP="00B23FDC">
      <w:pPr>
        <w:spacing w:after="0" w:line="360" w:lineRule="auto"/>
        <w:jc w:val="center"/>
        <w:rPr>
          <w:rFonts w:ascii="Times New Roman" w:hAnsi="Times New Roman"/>
          <w:b/>
          <w:sz w:val="32"/>
          <w:lang w:val="en-US"/>
        </w:rPr>
      </w:pPr>
      <w:bookmarkStart w:id="0" w:name="_GoBack"/>
      <w:bookmarkEnd w:id="0"/>
      <w:r w:rsidRPr="009F1212">
        <w:rPr>
          <w:rFonts w:ascii="Times New Roman" w:hAnsi="Times New Roman"/>
          <w:b/>
          <w:sz w:val="32"/>
          <w:lang w:val="en-US"/>
        </w:rPr>
        <w:t>Protocol</w:t>
      </w:r>
      <w:r w:rsidR="00BA2135">
        <w:rPr>
          <w:rFonts w:ascii="Times New Roman" w:hAnsi="Times New Roman"/>
          <w:b/>
          <w:sz w:val="32"/>
          <w:lang w:val="en-US"/>
        </w:rPr>
        <w:t xml:space="preserve"> S1 – Trial protocol</w:t>
      </w:r>
    </w:p>
    <w:p w:rsidR="000D1649" w:rsidRPr="009F1212" w:rsidRDefault="000D1649" w:rsidP="009F1212">
      <w:pPr>
        <w:spacing w:after="0" w:line="360" w:lineRule="auto"/>
        <w:jc w:val="center"/>
        <w:rPr>
          <w:rFonts w:ascii="Times New Roman" w:hAnsi="Times New Roman"/>
          <w:b/>
          <w:sz w:val="32"/>
          <w:lang w:val="en-US"/>
        </w:rPr>
      </w:pPr>
    </w:p>
    <w:p w:rsidR="00E433F3" w:rsidRPr="009F1212" w:rsidRDefault="00E433F3" w:rsidP="009F1212">
      <w:pPr>
        <w:spacing w:after="0" w:line="360" w:lineRule="auto"/>
        <w:jc w:val="both"/>
        <w:rPr>
          <w:rFonts w:ascii="Times New Roman" w:hAnsi="Times New Roman"/>
          <w:i/>
          <w:sz w:val="24"/>
        </w:rPr>
      </w:pPr>
      <w:r w:rsidRPr="009F1212">
        <w:rPr>
          <w:rFonts w:ascii="Times New Roman" w:hAnsi="Times New Roman"/>
          <w:b/>
          <w:i/>
          <w:sz w:val="24"/>
        </w:rPr>
        <w:t xml:space="preserve">Trial registration: </w:t>
      </w:r>
      <w:r w:rsidRPr="009F1212">
        <w:rPr>
          <w:rFonts w:ascii="Times New Roman" w:hAnsi="Times New Roman"/>
          <w:i/>
          <w:sz w:val="24"/>
        </w:rPr>
        <w:t>ACTRN</w:t>
      </w:r>
      <w:r w:rsidR="00990230" w:rsidRPr="009F1212">
        <w:rPr>
          <w:rFonts w:ascii="Times New Roman" w:hAnsi="Times New Roman"/>
          <w:i/>
          <w:sz w:val="24"/>
        </w:rPr>
        <w:t>#</w:t>
      </w:r>
      <w:r w:rsidR="00990230" w:rsidRPr="009F1212">
        <w:rPr>
          <w:rFonts w:ascii="Times New Roman" w:hAnsi="Times New Roman"/>
          <w:i/>
          <w:sz w:val="24"/>
          <w:szCs w:val="24"/>
        </w:rPr>
        <w:t>336317</w:t>
      </w:r>
      <w:r w:rsidRPr="009F1212">
        <w:rPr>
          <w:rFonts w:ascii="Times New Roman" w:hAnsi="Times New Roman"/>
          <w:i/>
          <w:sz w:val="24"/>
        </w:rPr>
        <w:t xml:space="preserve"> (Australian New Zealand Clinical Trials Registry).</w:t>
      </w:r>
    </w:p>
    <w:p w:rsidR="009F1212" w:rsidRPr="009F1212" w:rsidRDefault="009F1212" w:rsidP="009F121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33695" w:rsidRDefault="00990230" w:rsidP="00ED22B7">
      <w:pPr>
        <w:spacing w:after="0" w:line="360" w:lineRule="auto"/>
        <w:jc w:val="both"/>
        <w:outlineLvl w:val="0"/>
        <w:rPr>
          <w:rFonts w:ascii="Times New Roman" w:hAnsi="Times New Roman"/>
          <w:sz w:val="24"/>
          <w:lang w:val="en-US"/>
        </w:rPr>
      </w:pPr>
      <w:proofErr w:type="gramStart"/>
      <w:r w:rsidRPr="009F1212">
        <w:rPr>
          <w:rFonts w:ascii="Times New Roman" w:hAnsi="Times New Roman"/>
          <w:sz w:val="24"/>
        </w:rPr>
        <w:t xml:space="preserve">A 30-week </w:t>
      </w:r>
      <w:r w:rsidR="00934B1F" w:rsidRPr="00934B1F">
        <w:rPr>
          <w:rFonts w:ascii="Times New Roman" w:hAnsi="Times New Roman"/>
          <w:sz w:val="24"/>
        </w:rPr>
        <w:t>randomized, placebo-controlled, crossover trial</w:t>
      </w:r>
      <w:r w:rsidRPr="009F1212">
        <w:rPr>
          <w:rFonts w:ascii="Times New Roman" w:hAnsi="Times New Roman"/>
          <w:sz w:val="24"/>
        </w:rPr>
        <w:t xml:space="preserve"> of 12 weeks of either </w:t>
      </w:r>
      <w:r w:rsidR="009F1212" w:rsidRPr="004C7934">
        <w:rPr>
          <w:rFonts w:ascii="Times New Roman" w:hAnsi="Times New Roman"/>
          <w:b/>
          <w:sz w:val="24"/>
        </w:rPr>
        <w:t>o</w:t>
      </w:r>
      <w:r w:rsidRPr="004C7934">
        <w:rPr>
          <w:rFonts w:ascii="Times New Roman" w:hAnsi="Times New Roman"/>
          <w:b/>
          <w:sz w:val="24"/>
        </w:rPr>
        <w:t>live polyphenols</w:t>
      </w:r>
      <w:r w:rsidRPr="009F1212">
        <w:rPr>
          <w:rFonts w:ascii="Times New Roman" w:hAnsi="Times New Roman"/>
          <w:sz w:val="24"/>
        </w:rPr>
        <w:t xml:space="preserve"> i</w:t>
      </w:r>
      <w:r w:rsidR="009F1212" w:rsidRPr="009F1212">
        <w:rPr>
          <w:rFonts w:ascii="Times New Roman" w:hAnsi="Times New Roman"/>
          <w:sz w:val="24"/>
        </w:rPr>
        <w:t>n</w:t>
      </w:r>
      <w:r w:rsidRPr="009F1212">
        <w:rPr>
          <w:rFonts w:ascii="Times New Roman" w:hAnsi="Times New Roman"/>
          <w:sz w:val="24"/>
        </w:rPr>
        <w:t xml:space="preserve"> the form olive leaf ext</w:t>
      </w:r>
      <w:r w:rsidR="009F1212" w:rsidRPr="009F1212">
        <w:rPr>
          <w:rFonts w:ascii="Times New Roman" w:hAnsi="Times New Roman"/>
          <w:sz w:val="24"/>
        </w:rPr>
        <w:t>ract</w:t>
      </w:r>
      <w:r w:rsidR="005437BE">
        <w:rPr>
          <w:rFonts w:ascii="Times New Roman" w:hAnsi="Times New Roman"/>
          <w:sz w:val="24"/>
        </w:rPr>
        <w:t xml:space="preserve"> (OLE)</w:t>
      </w:r>
      <w:r w:rsidR="009F1212" w:rsidRPr="009F1212">
        <w:rPr>
          <w:rFonts w:ascii="Times New Roman" w:hAnsi="Times New Roman"/>
          <w:sz w:val="24"/>
        </w:rPr>
        <w:t xml:space="preserve"> or </w:t>
      </w:r>
      <w:r w:rsidR="009F1212" w:rsidRPr="004C7934">
        <w:rPr>
          <w:rFonts w:ascii="Times New Roman" w:hAnsi="Times New Roman"/>
          <w:b/>
          <w:sz w:val="24"/>
        </w:rPr>
        <w:t>placebo</w:t>
      </w:r>
      <w:r w:rsidR="009F1212" w:rsidRPr="009F1212">
        <w:rPr>
          <w:rFonts w:ascii="Times New Roman" w:hAnsi="Times New Roman"/>
          <w:sz w:val="24"/>
        </w:rPr>
        <w:t>, in middle-</w:t>
      </w:r>
      <w:r w:rsidRPr="009F1212">
        <w:rPr>
          <w:rFonts w:ascii="Times New Roman" w:hAnsi="Times New Roman"/>
          <w:sz w:val="24"/>
        </w:rPr>
        <w:t>aged overweight men.</w:t>
      </w:r>
      <w:proofErr w:type="gramEnd"/>
      <w:r w:rsidRPr="009F1212">
        <w:rPr>
          <w:rFonts w:ascii="Times New Roman" w:hAnsi="Times New Roman"/>
          <w:sz w:val="24"/>
        </w:rPr>
        <w:t xml:space="preserve"> After 12 weeks</w:t>
      </w:r>
      <w:r w:rsidR="004E0FF7">
        <w:rPr>
          <w:rFonts w:ascii="Times New Roman" w:hAnsi="Times New Roman"/>
          <w:sz w:val="24"/>
        </w:rPr>
        <w:t>,</w:t>
      </w:r>
      <w:r w:rsidRPr="009F1212">
        <w:rPr>
          <w:rFonts w:ascii="Times New Roman" w:hAnsi="Times New Roman"/>
          <w:sz w:val="24"/>
        </w:rPr>
        <w:t xml:space="preserve"> subjects supplemented </w:t>
      </w:r>
      <w:r w:rsidR="004E0FF7">
        <w:rPr>
          <w:rFonts w:ascii="Times New Roman" w:hAnsi="Times New Roman"/>
          <w:sz w:val="24"/>
        </w:rPr>
        <w:t xml:space="preserve">with </w:t>
      </w:r>
      <w:r w:rsidRPr="009F1212">
        <w:rPr>
          <w:rFonts w:ascii="Times New Roman" w:hAnsi="Times New Roman"/>
          <w:sz w:val="24"/>
        </w:rPr>
        <w:t>olive polyphenols will cross over to placebo</w:t>
      </w:r>
      <w:r w:rsidR="009F1212" w:rsidRPr="009F1212">
        <w:rPr>
          <w:rFonts w:ascii="Times New Roman" w:hAnsi="Times New Roman"/>
          <w:sz w:val="24"/>
        </w:rPr>
        <w:t>,</w:t>
      </w:r>
      <w:r w:rsidRPr="009F1212">
        <w:rPr>
          <w:rFonts w:ascii="Times New Roman" w:hAnsi="Times New Roman"/>
          <w:sz w:val="24"/>
        </w:rPr>
        <w:t xml:space="preserve"> and the subjects on placebo will crossover to receive olive polyphenols. There is a six week washout between phases. Olive polypheno</w:t>
      </w:r>
      <w:r w:rsidR="009F1212" w:rsidRPr="009F1212">
        <w:rPr>
          <w:rFonts w:ascii="Times New Roman" w:hAnsi="Times New Roman"/>
          <w:sz w:val="24"/>
        </w:rPr>
        <w:t>l</w:t>
      </w:r>
      <w:r w:rsidRPr="009F1212">
        <w:rPr>
          <w:rFonts w:ascii="Times New Roman" w:hAnsi="Times New Roman"/>
          <w:sz w:val="24"/>
        </w:rPr>
        <w:t>s will be in the form of 4 capsules o</w:t>
      </w:r>
      <w:r w:rsidR="004E0FF7">
        <w:rPr>
          <w:rFonts w:ascii="Times New Roman" w:hAnsi="Times New Roman"/>
          <w:sz w:val="24"/>
        </w:rPr>
        <w:t>f olive leaf extract, delivery 51.1</w:t>
      </w:r>
      <w:r w:rsidR="009F1212" w:rsidRPr="009F1212">
        <w:rPr>
          <w:rFonts w:ascii="Times New Roman" w:hAnsi="Times New Roman"/>
          <w:sz w:val="24"/>
        </w:rPr>
        <w:t xml:space="preserve"> </w:t>
      </w:r>
      <w:r w:rsidRPr="009F1212">
        <w:rPr>
          <w:rFonts w:ascii="Times New Roman" w:hAnsi="Times New Roman"/>
          <w:sz w:val="24"/>
        </w:rPr>
        <w:t>mg of oleuropein, and 9.</w:t>
      </w:r>
      <w:r w:rsidR="004E0FF7">
        <w:rPr>
          <w:rFonts w:ascii="Times New Roman" w:hAnsi="Times New Roman"/>
          <w:sz w:val="24"/>
        </w:rPr>
        <w:t xml:space="preserve">7 </w:t>
      </w:r>
      <w:r w:rsidR="005437BE">
        <w:rPr>
          <w:rFonts w:ascii="Times New Roman" w:hAnsi="Times New Roman"/>
          <w:sz w:val="24"/>
        </w:rPr>
        <w:t>mg of hy</w:t>
      </w:r>
      <w:r w:rsidRPr="009F1212">
        <w:rPr>
          <w:rFonts w:ascii="Times New Roman" w:hAnsi="Times New Roman"/>
          <w:sz w:val="24"/>
        </w:rPr>
        <w:t xml:space="preserve">droxytyrosol. </w:t>
      </w:r>
      <w:r w:rsidR="005437BE" w:rsidRPr="009F1212">
        <w:rPr>
          <w:rFonts w:ascii="Times New Roman" w:hAnsi="Times New Roman"/>
          <w:sz w:val="24"/>
        </w:rPr>
        <w:t>All subjects will be formally assessed at 3 tim</w:t>
      </w:r>
      <w:r w:rsidR="004E0FF7">
        <w:rPr>
          <w:rFonts w:ascii="Times New Roman" w:hAnsi="Times New Roman"/>
          <w:sz w:val="24"/>
        </w:rPr>
        <w:t>e points; 1) baseline, 2) cross</w:t>
      </w:r>
      <w:r w:rsidR="005437BE" w:rsidRPr="009F1212">
        <w:rPr>
          <w:rFonts w:ascii="Times New Roman" w:hAnsi="Times New Roman"/>
          <w:sz w:val="24"/>
        </w:rPr>
        <w:t xml:space="preserve">over (at 12 weeks), and 3) study completion (30 weeks). </w:t>
      </w:r>
      <w:r w:rsidR="005437BE" w:rsidRPr="009F1212">
        <w:rPr>
          <w:rFonts w:ascii="Times New Roman" w:hAnsi="Times New Roman"/>
          <w:sz w:val="24"/>
          <w:lang w:val="en-US"/>
        </w:rPr>
        <w:t xml:space="preserve">Each assessment will </w:t>
      </w:r>
      <w:r w:rsidR="004E0FF7">
        <w:rPr>
          <w:rFonts w:ascii="Times New Roman" w:hAnsi="Times New Roman"/>
          <w:sz w:val="24"/>
          <w:lang w:val="en-US"/>
        </w:rPr>
        <w:t xml:space="preserve">be </w:t>
      </w:r>
      <w:r w:rsidR="005437BE" w:rsidRPr="009F1212">
        <w:rPr>
          <w:rFonts w:ascii="Times New Roman" w:hAnsi="Times New Roman"/>
          <w:sz w:val="24"/>
          <w:lang w:val="en-US"/>
        </w:rPr>
        <w:t>performed at the Liggins Institute (Maurice and Nessie</w:t>
      </w:r>
      <w:r w:rsidR="00ED22B7">
        <w:rPr>
          <w:rFonts w:ascii="Times New Roman" w:hAnsi="Times New Roman"/>
          <w:sz w:val="24"/>
          <w:lang w:val="en-US"/>
        </w:rPr>
        <w:t xml:space="preserve"> Paykel Clinical Research Unit).</w:t>
      </w:r>
      <w:r w:rsidR="004E0FF7">
        <w:rPr>
          <w:rFonts w:ascii="Times New Roman" w:hAnsi="Times New Roman"/>
          <w:sz w:val="24"/>
          <w:lang w:val="en-US"/>
        </w:rPr>
        <w:t xml:space="preserve"> </w:t>
      </w:r>
      <w:r w:rsidR="00933695">
        <w:rPr>
          <w:rFonts w:ascii="Times New Roman" w:hAnsi="Times New Roman"/>
          <w:sz w:val="24"/>
          <w:lang w:val="en-US"/>
        </w:rPr>
        <w:t xml:space="preserve">Participants </w:t>
      </w:r>
      <w:r w:rsidR="004E0FF7">
        <w:rPr>
          <w:rFonts w:ascii="Times New Roman" w:hAnsi="Times New Roman"/>
          <w:sz w:val="24"/>
          <w:lang w:val="en-US"/>
        </w:rPr>
        <w:t xml:space="preserve">will be </w:t>
      </w:r>
      <w:r w:rsidR="00933695">
        <w:rPr>
          <w:rFonts w:ascii="Times New Roman" w:hAnsi="Times New Roman"/>
          <w:sz w:val="24"/>
          <w:lang w:val="en-US"/>
        </w:rPr>
        <w:t xml:space="preserve">recruited by newspaper advertising. </w:t>
      </w:r>
      <w:r w:rsidR="004E0FF7">
        <w:rPr>
          <w:rFonts w:ascii="Times New Roman" w:hAnsi="Times New Roman"/>
          <w:sz w:val="24"/>
          <w:lang w:val="en-US"/>
        </w:rPr>
        <w:t>Participant r</w:t>
      </w:r>
      <w:r w:rsidR="00933695">
        <w:rPr>
          <w:rFonts w:ascii="Times New Roman" w:hAnsi="Times New Roman"/>
          <w:sz w:val="24"/>
          <w:lang w:val="en-US"/>
        </w:rPr>
        <w:t xml:space="preserve">andomization </w:t>
      </w:r>
      <w:r w:rsidR="004E0FF7">
        <w:rPr>
          <w:rFonts w:ascii="Times New Roman" w:hAnsi="Times New Roman"/>
          <w:sz w:val="24"/>
          <w:lang w:val="en-US"/>
        </w:rPr>
        <w:t xml:space="preserve">will be carried </w:t>
      </w:r>
      <w:r w:rsidR="00933695">
        <w:rPr>
          <w:rFonts w:ascii="Times New Roman" w:hAnsi="Times New Roman"/>
          <w:sz w:val="24"/>
          <w:lang w:val="en-US"/>
        </w:rPr>
        <w:t>by computer random number generation, with participants and investigators blinded to allocation until after statistical analysis.</w:t>
      </w:r>
    </w:p>
    <w:p w:rsidR="00ED22B7" w:rsidRDefault="00ED22B7" w:rsidP="00ED22B7">
      <w:pPr>
        <w:spacing w:after="0" w:line="360" w:lineRule="auto"/>
        <w:jc w:val="both"/>
        <w:outlineLvl w:val="0"/>
        <w:rPr>
          <w:rFonts w:ascii="Times New Roman" w:hAnsi="Times New Roman"/>
          <w:sz w:val="24"/>
          <w:lang w:val="en-US"/>
        </w:rPr>
      </w:pPr>
    </w:p>
    <w:p w:rsidR="00ED22B7" w:rsidRPr="009F1212" w:rsidRDefault="00ED22B7" w:rsidP="00ED22B7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 </w:t>
      </w:r>
      <w:r w:rsidRPr="009F1212">
        <w:rPr>
          <w:rFonts w:ascii="Times New Roman" w:hAnsi="Times New Roman"/>
          <w:b/>
          <w:sz w:val="24"/>
        </w:rPr>
        <w:t>Inclusion criteria</w:t>
      </w:r>
    </w:p>
    <w:p w:rsidR="00ED22B7" w:rsidRPr="009014A4" w:rsidRDefault="00ED22B7" w:rsidP="00ED22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014A4">
        <w:rPr>
          <w:rFonts w:ascii="Times New Roman" w:hAnsi="Times New Roman"/>
          <w:sz w:val="24"/>
        </w:rPr>
        <w:t>Males</w:t>
      </w:r>
    </w:p>
    <w:p w:rsidR="00ED22B7" w:rsidRPr="009014A4" w:rsidRDefault="00ED22B7" w:rsidP="00ED22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014A4">
        <w:rPr>
          <w:rFonts w:ascii="Times New Roman" w:hAnsi="Times New Roman"/>
          <w:sz w:val="24"/>
        </w:rPr>
        <w:t xml:space="preserve">Age 35–55 years </w:t>
      </w:r>
    </w:p>
    <w:p w:rsidR="00ED22B7" w:rsidRPr="009014A4" w:rsidRDefault="00ED22B7" w:rsidP="00ED22B7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014A4">
        <w:rPr>
          <w:rFonts w:ascii="Times New Roman" w:hAnsi="Times New Roman"/>
          <w:sz w:val="24"/>
        </w:rPr>
        <w:t>BMI 25–30 kg/m</w:t>
      </w:r>
      <w:r w:rsidRPr="009014A4">
        <w:rPr>
          <w:rFonts w:ascii="Times New Roman" w:hAnsi="Times New Roman"/>
          <w:sz w:val="24"/>
          <w:vertAlign w:val="superscript"/>
        </w:rPr>
        <w:t>2</w:t>
      </w:r>
    </w:p>
    <w:p w:rsidR="00ED22B7" w:rsidRPr="009014A4" w:rsidRDefault="00ED22B7" w:rsidP="00ED22B7">
      <w:pPr>
        <w:spacing w:after="0" w:line="360" w:lineRule="auto"/>
        <w:jc w:val="both"/>
        <w:outlineLvl w:val="0"/>
        <w:rPr>
          <w:rFonts w:ascii="Times New Roman" w:hAnsi="Times New Roman"/>
          <w:sz w:val="24"/>
        </w:rPr>
      </w:pPr>
    </w:p>
    <w:p w:rsidR="00ED22B7" w:rsidRPr="009F1212" w:rsidRDefault="00ED22B7" w:rsidP="00ED22B7">
      <w:pPr>
        <w:spacing w:after="0" w:line="360" w:lineRule="auto"/>
        <w:jc w:val="both"/>
        <w:outlineLvl w:val="0"/>
        <w:rPr>
          <w:rFonts w:ascii="Times New Roman" w:hAnsi="Times New Roman"/>
          <w:b/>
          <w:sz w:val="24"/>
        </w:rPr>
      </w:pPr>
      <w:r w:rsidRPr="009F1212">
        <w:rPr>
          <w:rFonts w:ascii="Times New Roman" w:hAnsi="Times New Roman"/>
          <w:b/>
          <w:sz w:val="24"/>
        </w:rPr>
        <w:t>Exclusion Criteria</w:t>
      </w:r>
    </w:p>
    <w:p w:rsidR="00ED22B7" w:rsidRPr="009F1212" w:rsidRDefault="00ED22B7" w:rsidP="00ED22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F1212">
        <w:rPr>
          <w:rFonts w:ascii="Times New Roman" w:hAnsi="Times New Roman"/>
          <w:sz w:val="24"/>
        </w:rPr>
        <w:t>Receiving medications that influence insulin sensitivity</w:t>
      </w:r>
      <w:r w:rsidRPr="009F1212">
        <w:rPr>
          <w:rFonts w:ascii="Times New Roman" w:hAnsi="Times New Roman"/>
          <w:sz w:val="24"/>
          <w:vertAlign w:val="subscript"/>
        </w:rPr>
        <w:t xml:space="preserve"> </w:t>
      </w:r>
      <w:r w:rsidRPr="009F1212">
        <w:rPr>
          <w:rFonts w:ascii="Times New Roman" w:hAnsi="Times New Roman"/>
          <w:sz w:val="24"/>
        </w:rPr>
        <w:t>(includi</w:t>
      </w:r>
      <w:r>
        <w:rPr>
          <w:rFonts w:ascii="Times New Roman" w:hAnsi="Times New Roman"/>
          <w:sz w:val="24"/>
        </w:rPr>
        <w:t>ng oral steroids and metformin)</w:t>
      </w:r>
    </w:p>
    <w:p w:rsidR="00ED22B7" w:rsidRPr="009F1212" w:rsidRDefault="00ED22B7" w:rsidP="00ED22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F1212">
        <w:rPr>
          <w:rFonts w:ascii="Times New Roman" w:hAnsi="Times New Roman"/>
          <w:sz w:val="24"/>
        </w:rPr>
        <w:t>Smokers</w:t>
      </w:r>
    </w:p>
    <w:p w:rsidR="00ED22B7" w:rsidRPr="009F1212" w:rsidRDefault="00ED22B7" w:rsidP="00ED22B7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9F1212">
        <w:rPr>
          <w:rFonts w:ascii="Times New Roman" w:hAnsi="Times New Roman"/>
          <w:sz w:val="24"/>
        </w:rPr>
        <w:t>Diabetes</w:t>
      </w:r>
    </w:p>
    <w:p w:rsidR="005437BE" w:rsidRDefault="005437BE" w:rsidP="009F121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437BE" w:rsidRDefault="005437BE" w:rsidP="009F121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437BE" w:rsidRDefault="002D0001" w:rsidP="009F121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lastRenderedPageBreak/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left:0;text-align:left;margin-left:441.6pt;margin-top:203.45pt;width:7.15pt;height:64.3pt;z-index:251665408"/>
        </w:pict>
      </w:r>
      <w:r>
        <w:rPr>
          <w:rFonts w:ascii="Times New Roman" w:hAnsi="Times New Roman"/>
          <w:noProof/>
          <w:sz w:val="24"/>
        </w:rPr>
        <w:pict>
          <v:shape id="_x0000_s1029" type="#_x0000_t68" style="position:absolute;left:0;text-align:left;margin-left:181.45pt;margin-top:203.45pt;width:7.15pt;height:64.3pt;z-index:251664384"/>
        </w:pict>
      </w:r>
      <w:r>
        <w:rPr>
          <w:rFonts w:ascii="Times New Roman" w:hAnsi="Times New Roman"/>
          <w:noProof/>
          <w:sz w:val="24"/>
        </w:rPr>
        <w:pict>
          <v:shape id="_x0000_s1028" type="#_x0000_t68" style="position:absolute;left:0;text-align:left;margin-left:1.5pt;margin-top:207.8pt;width:7.15pt;height:64.3pt;z-index:251663360"/>
        </w:pict>
      </w:r>
      <w:r>
        <w:rPr>
          <w:rFonts w:ascii="Times New Roman" w:hAnsi="Times New Roman"/>
          <w:noProof/>
          <w:sz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9.85pt;margin-top:203.45pt;width:59.5pt;height:23.95pt;z-index:251662336;mso-width-relative:margin;mso-height-relative:margin">
            <v:textbox>
              <w:txbxContent>
                <w:p w:rsidR="005437BE" w:rsidRDefault="005437BE">
                  <w:r>
                    <w:t>12 weeks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val="en-US" w:eastAsia="zh-TW"/>
        </w:rPr>
        <w:pict>
          <v:shape id="_x0000_s1026" type="#_x0000_t202" style="position:absolute;left:0;text-align:left;margin-left:58.55pt;margin-top:203.45pt;width:60.95pt;height:22.55pt;z-index:251660288;mso-width-relative:margin;mso-height-relative:margin">
            <v:textbox style="mso-next-textbox:#_x0000_s1026">
              <w:txbxContent>
                <w:p w:rsidR="005437BE" w:rsidRDefault="005437BE">
                  <w:r>
                    <w:t>12 weeks</w:t>
                  </w:r>
                </w:p>
              </w:txbxContent>
            </v:textbox>
          </v:shape>
        </w:pict>
      </w:r>
      <w:r w:rsidR="005437BE" w:rsidRPr="005437BE">
        <w:rPr>
          <w:rFonts w:ascii="Times New Roman" w:hAnsi="Times New Roman"/>
          <w:noProof/>
          <w:sz w:val="24"/>
        </w:rPr>
        <w:drawing>
          <wp:inline distT="0" distB="0" distL="0" distR="0">
            <wp:extent cx="5731510" cy="2614083"/>
            <wp:effectExtent l="19050" t="0" r="254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630988" cy="3024188"/>
                      <a:chOff x="1908175" y="981075"/>
                      <a:chExt cx="6630988" cy="3024188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6011863" y="1557338"/>
                        <a:ext cx="2527300" cy="10858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NZ" sz="3200" dirty="0">
                              <a:solidFill>
                                <a:schemeClr val="tx1"/>
                              </a:solidFill>
                            </a:rPr>
                            <a:t>Placebo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5" name="Rectangle 4"/>
                      <a:cNvSpPr/>
                    </a:nvSpPr>
                    <a:spPr>
                      <a:xfrm>
                        <a:off x="5940425" y="2997200"/>
                        <a:ext cx="2598738" cy="1008063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NZ" sz="3200" dirty="0">
                              <a:solidFill>
                                <a:schemeClr val="tx1"/>
                              </a:solidFill>
                            </a:rPr>
                            <a:t>OLE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Rectangle 5"/>
                      <a:cNvSpPr/>
                    </a:nvSpPr>
                    <a:spPr>
                      <a:xfrm>
                        <a:off x="1908175" y="2997200"/>
                        <a:ext cx="2735263" cy="1008063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NZ" sz="3200" dirty="0">
                              <a:solidFill>
                                <a:schemeClr val="tx1"/>
                              </a:solidFill>
                            </a:rPr>
                            <a:t>Placebo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1908175" y="1557338"/>
                        <a:ext cx="2735263" cy="108585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a:spPr>
                    <a:txSp>
                      <a:txBody>
                        <a:bodyPr anchor="ctr"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r>
                            <a:rPr lang="en-NZ" sz="3200" dirty="0">
                              <a:solidFill>
                                <a:schemeClr val="tx1"/>
                              </a:solidFill>
                            </a:rPr>
                            <a:t>OLE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cxnSp>
                    <a:nvCxnSpPr>
                      <a:cNvPr id="8" name="Straight Arrow Connector 7"/>
                      <a:cNvCxnSpPr>
                        <a:stCxn id="7" idx="3"/>
                        <a:endCxn id="4" idx="1"/>
                      </a:cNvCxnSpPr>
                    </a:nvCxnSpPr>
                    <a:spPr>
                      <a:xfrm flipV="1">
                        <a:off x="4643438" y="2100263"/>
                        <a:ext cx="1368425" cy="0"/>
                      </a:xfrm>
                      <a:prstGeom prst="straightConnector1">
                        <a:avLst/>
                      </a:prstGeom>
                      <a:ln w="190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Arrow Connector 8"/>
                      <a:cNvCxnSpPr>
                        <a:stCxn id="6" idx="3"/>
                        <a:endCxn id="5" idx="1"/>
                      </a:cNvCxnSpPr>
                    </a:nvCxnSpPr>
                    <a:spPr>
                      <a:xfrm>
                        <a:off x="4643438" y="3500438"/>
                        <a:ext cx="1296987" cy="0"/>
                      </a:xfrm>
                      <a:prstGeom prst="straightConnector1">
                        <a:avLst/>
                      </a:prstGeom>
                      <a:ln w="19050"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9225" name="TextBox 3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627313" y="1052513"/>
                        <a:ext cx="1031875" cy="3698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NZ"/>
                            <a:t>Stage 1. 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26" name="Rectangle 31"/>
                      <a:cNvSpPr>
                        <a:spLocks noChangeArrowheads="1"/>
                      </a:cNvSpPr>
                    </a:nvSpPr>
                    <a:spPr bwMode="auto">
                      <a:xfrm>
                        <a:off x="6804025" y="981075"/>
                        <a:ext cx="1031875" cy="3698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NZ"/>
                            <a:t>Stage 2. 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236" name="TextBox 4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00563" y="2420938"/>
                        <a:ext cx="1582737" cy="7080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ＭＳ Ｐゴシック" pitchFamily="34" charset="-128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NZ" sz="2000"/>
                            <a:t>6 week washout</a:t>
                          </a:r>
                          <a:endParaRPr lang="en-US" sz="200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5437BE" w:rsidRDefault="005437BE" w:rsidP="009F121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437BE" w:rsidRDefault="005437BE" w:rsidP="009F121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437BE" w:rsidRDefault="005437BE" w:rsidP="009F121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437BE" w:rsidRDefault="002D0001" w:rsidP="009F1212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 id="_x0000_s1033" type="#_x0000_t202" style="position:absolute;left:0;text-align:left;margin-left:397.85pt;margin-top:2.1pt;width:75.9pt;height:21.1pt;z-index:251669504;mso-width-relative:margin;mso-height-relative:margin">
            <v:textbox>
              <w:txbxContent>
                <w:p w:rsidR="005437BE" w:rsidRDefault="004E0FF7" w:rsidP="005437BE">
                  <w:r>
                    <w:t>Assessment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</w:rPr>
        <w:pict>
          <v:shape id="_x0000_s1032" type="#_x0000_t202" style="position:absolute;left:0;text-align:left;margin-left:132.9pt;margin-top:4.5pt;width:75.9pt;height:21.1pt;z-index:251668480;mso-width-relative:margin;mso-height-relative:margin">
            <v:textbox>
              <w:txbxContent>
                <w:p w:rsidR="005437BE" w:rsidRDefault="004E0FF7" w:rsidP="005437BE">
                  <w:r>
                    <w:t>Assessment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lang w:val="en-US" w:eastAsia="zh-TW"/>
        </w:rPr>
        <w:pict>
          <v:shape id="_x0000_s1031" type="#_x0000_t202" style="position:absolute;left:0;text-align:left;margin-left:-22.6pt;margin-top:4.5pt;width:75.9pt;height:21.1pt;z-index:251667456;mso-width-relative:margin;mso-height-relative:margin">
            <v:textbox>
              <w:txbxContent>
                <w:p w:rsidR="005437BE" w:rsidRDefault="004E0FF7">
                  <w:r>
                    <w:t>Assessment</w:t>
                  </w:r>
                </w:p>
              </w:txbxContent>
            </v:textbox>
          </v:shape>
        </w:pict>
      </w:r>
    </w:p>
    <w:p w:rsidR="005437BE" w:rsidRDefault="005437BE" w:rsidP="009F121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990230" w:rsidRPr="009F1212" w:rsidRDefault="00990230" w:rsidP="009F1212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:rsidR="005437BE" w:rsidRDefault="005437BE" w:rsidP="009F121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437BE" w:rsidRPr="004E0FF7" w:rsidRDefault="004E0FF7" w:rsidP="009F1212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>Assessments</w:t>
      </w:r>
    </w:p>
    <w:p w:rsidR="00ED22B7" w:rsidRDefault="00ED22B7" w:rsidP="009F121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 xml:space="preserve">Prior to arrival for the assessments, all participants </w:t>
      </w:r>
      <w:r w:rsidR="004E0FF7">
        <w:rPr>
          <w:rFonts w:ascii="Times New Roman" w:hAnsi="Times New Roman"/>
          <w:sz w:val="24"/>
          <w:lang w:val="en-US"/>
        </w:rPr>
        <w:t xml:space="preserve">will be </w:t>
      </w:r>
      <w:r>
        <w:rPr>
          <w:rFonts w:ascii="Times New Roman" w:hAnsi="Times New Roman"/>
          <w:sz w:val="24"/>
          <w:lang w:val="en-US"/>
        </w:rPr>
        <w:t xml:space="preserve">instructed to fast for 8 hours, and avoid strenuous exercise for </w:t>
      </w:r>
      <w:r w:rsidR="004E0FF7">
        <w:rPr>
          <w:rFonts w:ascii="Times New Roman" w:hAnsi="Times New Roman"/>
          <w:sz w:val="24"/>
          <w:lang w:val="en-US"/>
        </w:rPr>
        <w:t xml:space="preserve">the preceding </w:t>
      </w:r>
      <w:r>
        <w:rPr>
          <w:rFonts w:ascii="Times New Roman" w:hAnsi="Times New Roman"/>
          <w:sz w:val="24"/>
          <w:lang w:val="en-US"/>
        </w:rPr>
        <w:t>24 hours.</w:t>
      </w:r>
      <w:r w:rsidR="00933695">
        <w:rPr>
          <w:rFonts w:ascii="Times New Roman" w:hAnsi="Times New Roman"/>
          <w:sz w:val="24"/>
          <w:lang w:val="en-US"/>
        </w:rPr>
        <w:t xml:space="preserve"> On arrival, resting energy expenditure will be assessed first before IV insertion. All blood samples will be centrifuged, separated into plasma and serum, and frozen at -20</w:t>
      </w:r>
      <w:r w:rsidR="004E0FF7">
        <w:rPr>
          <w:rFonts w:ascii="Times New Roman" w:hAnsi="Times New Roman" w:cs="Times New Roman"/>
          <w:sz w:val="24"/>
          <w:lang w:val="en-US"/>
        </w:rPr>
        <w:t>°</w:t>
      </w:r>
      <w:r w:rsidR="004E0FF7">
        <w:rPr>
          <w:rFonts w:ascii="Times New Roman" w:hAnsi="Times New Roman"/>
          <w:sz w:val="24"/>
          <w:lang w:val="en-US"/>
        </w:rPr>
        <w:t>C</w:t>
      </w:r>
      <w:r w:rsidR="00933695">
        <w:rPr>
          <w:rFonts w:ascii="Times New Roman" w:hAnsi="Times New Roman"/>
          <w:sz w:val="24"/>
          <w:lang w:val="en-US"/>
        </w:rPr>
        <w:t xml:space="preserve"> for later analysis. Following each assessment, subjects will be offered a meal.</w:t>
      </w:r>
    </w:p>
    <w:p w:rsidR="005437BE" w:rsidRDefault="005437BE" w:rsidP="009F121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437BE" w:rsidRPr="004E0FF7" w:rsidRDefault="005437BE" w:rsidP="009F1212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 w:rsidRPr="004E0FF7">
        <w:rPr>
          <w:rFonts w:ascii="Times New Roman" w:hAnsi="Times New Roman"/>
          <w:b/>
          <w:sz w:val="24"/>
          <w:lang w:val="en-US"/>
        </w:rPr>
        <w:t>Primary</w:t>
      </w:r>
      <w:r w:rsidR="003676A5" w:rsidRPr="004E0FF7">
        <w:rPr>
          <w:rFonts w:ascii="Times New Roman" w:hAnsi="Times New Roman"/>
          <w:b/>
          <w:sz w:val="24"/>
          <w:lang w:val="en-US"/>
        </w:rPr>
        <w:t xml:space="preserve"> outcome</w:t>
      </w:r>
    </w:p>
    <w:p w:rsidR="005437BE" w:rsidRDefault="005437BE" w:rsidP="009F121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Insulin sensitivity as determined by the Matsuda method.</w:t>
      </w:r>
      <w:r w:rsidRPr="005437B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S</w:t>
      </w:r>
      <w:r w:rsidRPr="009F1212">
        <w:rPr>
          <w:rFonts w:ascii="Times New Roman" w:hAnsi="Times New Roman"/>
          <w:sz w:val="24"/>
          <w:lang w:val="en-US"/>
        </w:rPr>
        <w:t>ubjects will be fasted overnight</w:t>
      </w:r>
      <w:r>
        <w:rPr>
          <w:rFonts w:ascii="Times New Roman" w:hAnsi="Times New Roman"/>
          <w:sz w:val="24"/>
          <w:lang w:val="en-US"/>
        </w:rPr>
        <w:t xml:space="preserve">. Upon arrival an IV cannula will be </w:t>
      </w:r>
      <w:proofErr w:type="gramStart"/>
      <w:r>
        <w:rPr>
          <w:rFonts w:ascii="Times New Roman" w:hAnsi="Times New Roman"/>
          <w:sz w:val="24"/>
          <w:lang w:val="en-US"/>
        </w:rPr>
        <w:t>inserted,</w:t>
      </w:r>
      <w:proofErr w:type="gramEnd"/>
      <w:r>
        <w:rPr>
          <w:rFonts w:ascii="Times New Roman" w:hAnsi="Times New Roman"/>
          <w:sz w:val="24"/>
          <w:lang w:val="en-US"/>
        </w:rPr>
        <w:t xml:space="preserve"> and fasting blood sample taken</w:t>
      </w:r>
      <w:r w:rsidR="003676A5">
        <w:rPr>
          <w:rFonts w:ascii="Times New Roman" w:hAnsi="Times New Roman"/>
          <w:sz w:val="24"/>
          <w:lang w:val="en-US"/>
        </w:rPr>
        <w:t>. The Matsuda method uses a</w:t>
      </w:r>
      <w:r w:rsidRPr="009F1212">
        <w:rPr>
          <w:rFonts w:ascii="Times New Roman" w:hAnsi="Times New Roman"/>
          <w:sz w:val="24"/>
          <w:lang w:val="en-US"/>
        </w:rPr>
        <w:t xml:space="preserve"> 1.75 g/kg (max 75 g) </w:t>
      </w:r>
      <w:proofErr w:type="spellStart"/>
      <w:r w:rsidRPr="009F1212">
        <w:rPr>
          <w:rFonts w:ascii="Times New Roman" w:hAnsi="Times New Roman"/>
          <w:sz w:val="24"/>
          <w:lang w:val="en-US"/>
        </w:rPr>
        <w:t>glucodex</w:t>
      </w:r>
      <w:proofErr w:type="spellEnd"/>
      <w:r w:rsidRPr="009F1212">
        <w:rPr>
          <w:rFonts w:ascii="Times New Roman" w:hAnsi="Times New Roman"/>
          <w:sz w:val="24"/>
          <w:lang w:val="en-US"/>
        </w:rPr>
        <w:t xml:space="preserve"> oral glucose tolerance </w:t>
      </w:r>
      <w:r w:rsidR="003676A5">
        <w:rPr>
          <w:rFonts w:ascii="Times New Roman" w:hAnsi="Times New Roman"/>
          <w:sz w:val="24"/>
          <w:lang w:val="en-US"/>
        </w:rPr>
        <w:t xml:space="preserve">challenge </w:t>
      </w:r>
      <w:r w:rsidRPr="009F1212">
        <w:rPr>
          <w:rFonts w:ascii="Times New Roman" w:hAnsi="Times New Roman"/>
          <w:sz w:val="24"/>
          <w:lang w:val="en-US"/>
        </w:rPr>
        <w:t>with</w:t>
      </w:r>
      <w:r w:rsidR="003676A5">
        <w:rPr>
          <w:rFonts w:ascii="Times New Roman" w:hAnsi="Times New Roman"/>
          <w:sz w:val="24"/>
          <w:lang w:val="en-US"/>
        </w:rPr>
        <w:t xml:space="preserve"> plasma</w:t>
      </w:r>
      <w:r w:rsidRPr="009F1212">
        <w:rPr>
          <w:rFonts w:ascii="Times New Roman" w:hAnsi="Times New Roman"/>
          <w:sz w:val="24"/>
          <w:lang w:val="en-US"/>
        </w:rPr>
        <w:t xml:space="preserve"> glucose and insulin levels</w:t>
      </w:r>
      <w:r w:rsidR="003676A5">
        <w:rPr>
          <w:rFonts w:ascii="Times New Roman" w:hAnsi="Times New Roman"/>
          <w:sz w:val="24"/>
          <w:lang w:val="en-US"/>
        </w:rPr>
        <w:t xml:space="preserve"> taken at </w:t>
      </w:r>
      <w:r w:rsidRPr="009F1212">
        <w:rPr>
          <w:rFonts w:ascii="Times New Roman" w:hAnsi="Times New Roman"/>
          <w:sz w:val="24"/>
          <w:lang w:val="en-US"/>
        </w:rPr>
        <w:t>0, 30, 60, 90,</w:t>
      </w:r>
      <w:r w:rsidR="003676A5">
        <w:rPr>
          <w:rFonts w:ascii="Times New Roman" w:hAnsi="Times New Roman"/>
          <w:sz w:val="24"/>
          <w:lang w:val="en-US"/>
        </w:rPr>
        <w:t xml:space="preserve"> and 120 min</w:t>
      </w:r>
      <w:r>
        <w:rPr>
          <w:rFonts w:ascii="Times New Roman" w:hAnsi="Times New Roman"/>
          <w:sz w:val="24"/>
          <w:lang w:val="en-US"/>
        </w:rPr>
        <w:t xml:space="preserve">. </w:t>
      </w:r>
      <w:r w:rsidRPr="009F1212">
        <w:rPr>
          <w:rFonts w:ascii="Times New Roman" w:hAnsi="Times New Roman"/>
          <w:sz w:val="24"/>
          <w:lang w:val="en-US"/>
        </w:rPr>
        <w:t>Matsuda index</w:t>
      </w:r>
      <w:r>
        <w:rPr>
          <w:rFonts w:ascii="Times New Roman" w:hAnsi="Times New Roman"/>
          <w:sz w:val="24"/>
          <w:lang w:val="en-US"/>
        </w:rPr>
        <w:t xml:space="preserve"> </w:t>
      </w:r>
      <w:r w:rsidR="004E0FF7">
        <w:rPr>
          <w:rFonts w:ascii="Times New Roman" w:hAnsi="Times New Roman"/>
          <w:sz w:val="24"/>
          <w:lang w:val="en-US"/>
        </w:rPr>
        <w:t>is highly correlated with clamp-</w:t>
      </w:r>
      <w:r w:rsidRPr="009F1212">
        <w:rPr>
          <w:rFonts w:ascii="Times New Roman" w:hAnsi="Times New Roman"/>
          <w:sz w:val="24"/>
          <w:lang w:val="en-US"/>
        </w:rPr>
        <w:t>derived insulin sensitivity indices.</w:t>
      </w:r>
    </w:p>
    <w:p w:rsidR="003676A5" w:rsidRDefault="003676A5" w:rsidP="009F121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3676A5" w:rsidRPr="00E421B2" w:rsidRDefault="003676A5" w:rsidP="009F1212">
      <w:pPr>
        <w:spacing w:after="0" w:line="360" w:lineRule="auto"/>
        <w:jc w:val="both"/>
        <w:rPr>
          <w:rFonts w:ascii="Times New Roman" w:hAnsi="Times New Roman"/>
          <w:b/>
          <w:sz w:val="24"/>
          <w:lang w:val="en-US"/>
        </w:rPr>
      </w:pPr>
      <w:r w:rsidRPr="00E421B2">
        <w:rPr>
          <w:rFonts w:ascii="Times New Roman" w:hAnsi="Times New Roman"/>
          <w:b/>
          <w:sz w:val="24"/>
          <w:lang w:val="en-US"/>
        </w:rPr>
        <w:t>Secondar</w:t>
      </w:r>
      <w:r w:rsidR="00E421B2">
        <w:rPr>
          <w:rFonts w:ascii="Times New Roman" w:hAnsi="Times New Roman"/>
          <w:b/>
          <w:sz w:val="24"/>
          <w:lang w:val="en-US"/>
        </w:rPr>
        <w:t>y outcomes</w:t>
      </w:r>
    </w:p>
    <w:p w:rsidR="003676A5" w:rsidRPr="003676A5" w:rsidRDefault="003676A5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lang w:val="en-US"/>
        </w:rPr>
      </w:pPr>
      <w:r w:rsidRPr="009F1212">
        <w:rPr>
          <w:rFonts w:ascii="Times New Roman" w:hAnsi="Times New Roman" w:cs="Arial"/>
          <w:sz w:val="24"/>
        </w:rPr>
        <w:t>Body weight (to 0.1 kg), height (wal</w:t>
      </w:r>
      <w:r w:rsidR="00E421B2">
        <w:rPr>
          <w:rFonts w:ascii="Times New Roman" w:hAnsi="Times New Roman" w:cs="Arial"/>
          <w:sz w:val="24"/>
        </w:rPr>
        <w:t>l-</w:t>
      </w:r>
      <w:r>
        <w:rPr>
          <w:rFonts w:ascii="Times New Roman" w:hAnsi="Times New Roman" w:cs="Arial"/>
          <w:sz w:val="24"/>
        </w:rPr>
        <w:t xml:space="preserve">mounted </w:t>
      </w:r>
      <w:proofErr w:type="spellStart"/>
      <w:r>
        <w:rPr>
          <w:rFonts w:ascii="Times New Roman" w:hAnsi="Times New Roman" w:cs="Arial"/>
          <w:sz w:val="24"/>
        </w:rPr>
        <w:t>stadiometer</w:t>
      </w:r>
      <w:proofErr w:type="spellEnd"/>
      <w:r>
        <w:rPr>
          <w:rFonts w:ascii="Times New Roman" w:hAnsi="Times New Roman" w:cs="Arial"/>
          <w:sz w:val="24"/>
        </w:rPr>
        <w:t xml:space="preserve"> to 0.1cm). BMI calculated as weight (kg) / height (m</w:t>
      </w:r>
      <w:proofErr w:type="gramStart"/>
      <w:r>
        <w:rPr>
          <w:rFonts w:ascii="Times New Roman" w:hAnsi="Times New Roman" w:cs="Arial"/>
          <w:sz w:val="24"/>
        </w:rPr>
        <w:t>)</w:t>
      </w:r>
      <w:r w:rsidRPr="003676A5">
        <w:rPr>
          <w:rFonts w:ascii="Times New Roman" w:hAnsi="Times New Roman" w:cs="Arial"/>
          <w:sz w:val="24"/>
          <w:vertAlign w:val="superscript"/>
        </w:rPr>
        <w:t>2</w:t>
      </w:r>
      <w:proofErr w:type="gramEnd"/>
      <w:r w:rsidR="005A3883" w:rsidRPr="005A3883">
        <w:rPr>
          <w:rFonts w:ascii="Times New Roman" w:hAnsi="Times New Roman" w:cs="Arial"/>
          <w:sz w:val="24"/>
        </w:rPr>
        <w:t>.</w:t>
      </w:r>
    </w:p>
    <w:p w:rsidR="00990230" w:rsidRPr="003676A5" w:rsidRDefault="005A3883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 w:cs="Arial"/>
          <w:sz w:val="24"/>
        </w:rPr>
        <w:lastRenderedPageBreak/>
        <w:t>B</w:t>
      </w:r>
      <w:r w:rsidR="003676A5" w:rsidRPr="003676A5">
        <w:rPr>
          <w:rFonts w:ascii="Times New Roman" w:hAnsi="Times New Roman" w:cs="Arial"/>
          <w:sz w:val="24"/>
        </w:rPr>
        <w:t>ody compositi</w:t>
      </w:r>
      <w:r w:rsidR="003676A5">
        <w:rPr>
          <w:rFonts w:ascii="Times New Roman" w:hAnsi="Times New Roman" w:cs="Arial"/>
          <w:sz w:val="24"/>
        </w:rPr>
        <w:t>on</w:t>
      </w:r>
      <w:r w:rsidR="00E421B2">
        <w:rPr>
          <w:rFonts w:ascii="Times New Roman" w:hAnsi="Times New Roman" w:cs="Arial"/>
          <w:sz w:val="24"/>
        </w:rPr>
        <w:t xml:space="preserve"> and </w:t>
      </w:r>
      <w:r w:rsidR="003676A5">
        <w:rPr>
          <w:rFonts w:ascii="Times New Roman" w:hAnsi="Times New Roman" w:cs="Arial"/>
          <w:sz w:val="24"/>
        </w:rPr>
        <w:t>bone mineral density (DEXA</w:t>
      </w:r>
      <w:r w:rsidR="00E421B2">
        <w:rPr>
          <w:rFonts w:ascii="Times New Roman" w:hAnsi="Times New Roman" w:cs="Arial"/>
          <w:sz w:val="24"/>
        </w:rPr>
        <w:t xml:space="preserve"> – Lunar Prodigy</w:t>
      </w:r>
      <w:r>
        <w:rPr>
          <w:rFonts w:ascii="Times New Roman" w:hAnsi="Times New Roman" w:cs="Arial"/>
          <w:sz w:val="24"/>
        </w:rPr>
        <w:t>).</w:t>
      </w:r>
    </w:p>
    <w:p w:rsidR="003676A5" w:rsidRPr="003676A5" w:rsidRDefault="005A3883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 w:cs="Arial"/>
          <w:sz w:val="24"/>
        </w:rPr>
        <w:t>24-</w:t>
      </w:r>
      <w:r w:rsidR="003676A5">
        <w:rPr>
          <w:rFonts w:ascii="Times New Roman" w:hAnsi="Times New Roman" w:cs="Arial"/>
          <w:sz w:val="24"/>
        </w:rPr>
        <w:t xml:space="preserve">hour </w:t>
      </w:r>
      <w:r>
        <w:rPr>
          <w:rFonts w:ascii="Times New Roman" w:hAnsi="Times New Roman" w:cs="Arial"/>
          <w:sz w:val="24"/>
        </w:rPr>
        <w:t xml:space="preserve">ambulatory </w:t>
      </w:r>
      <w:r w:rsidR="003676A5">
        <w:rPr>
          <w:rFonts w:ascii="Times New Roman" w:hAnsi="Times New Roman" w:cs="Arial"/>
          <w:sz w:val="24"/>
        </w:rPr>
        <w:t xml:space="preserve">blood pressure, using </w:t>
      </w:r>
      <w:proofErr w:type="spellStart"/>
      <w:r w:rsidR="003676A5">
        <w:rPr>
          <w:rFonts w:ascii="Times New Roman" w:hAnsi="Times New Roman" w:cs="Arial"/>
          <w:sz w:val="24"/>
        </w:rPr>
        <w:t>Spacelabs</w:t>
      </w:r>
      <w:proofErr w:type="spellEnd"/>
      <w:r w:rsidR="003676A5">
        <w:rPr>
          <w:rFonts w:ascii="Times New Roman" w:hAnsi="Times New Roman" w:cs="Arial"/>
          <w:sz w:val="24"/>
        </w:rPr>
        <w:t xml:space="preserve"> ambulatory blood pressure monitoring system. This will occur within 7 days before the assessments</w:t>
      </w:r>
      <w:r>
        <w:rPr>
          <w:rFonts w:ascii="Times New Roman" w:hAnsi="Times New Roman" w:cs="Arial"/>
          <w:sz w:val="24"/>
        </w:rPr>
        <w:t>.</w:t>
      </w:r>
    </w:p>
    <w:p w:rsidR="003676A5" w:rsidRPr="003676A5" w:rsidRDefault="003676A5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 w:cs="Arial"/>
          <w:sz w:val="24"/>
        </w:rPr>
        <w:t>Wellness questionnaire – using the SF36 online tool. Participants will logon with unique code</w:t>
      </w:r>
      <w:r w:rsidR="00ED22B7">
        <w:rPr>
          <w:rFonts w:ascii="Times New Roman" w:hAnsi="Times New Roman" w:cs="Arial"/>
          <w:sz w:val="24"/>
        </w:rPr>
        <w:t xml:space="preserve"> during the assessment.</w:t>
      </w:r>
    </w:p>
    <w:p w:rsidR="003676A5" w:rsidRDefault="003676A5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 w:cs="Arial"/>
          <w:sz w:val="24"/>
        </w:rPr>
        <w:t xml:space="preserve">Hand </w:t>
      </w:r>
      <w:r w:rsidR="005A3883">
        <w:rPr>
          <w:rFonts w:ascii="Times New Roman" w:hAnsi="Times New Roman" w:cs="Arial"/>
          <w:sz w:val="24"/>
        </w:rPr>
        <w:t>g</w:t>
      </w:r>
      <w:r>
        <w:rPr>
          <w:rFonts w:ascii="Times New Roman" w:hAnsi="Times New Roman" w:cs="Arial"/>
          <w:sz w:val="24"/>
        </w:rPr>
        <w:t xml:space="preserve">rip </w:t>
      </w:r>
      <w:r w:rsidR="005A3883">
        <w:rPr>
          <w:rFonts w:ascii="Times New Roman" w:hAnsi="Times New Roman" w:cs="Arial"/>
          <w:sz w:val="24"/>
        </w:rPr>
        <w:t>s</w:t>
      </w:r>
      <w:r>
        <w:rPr>
          <w:rFonts w:ascii="Times New Roman" w:hAnsi="Times New Roman" w:cs="Arial"/>
          <w:sz w:val="24"/>
        </w:rPr>
        <w:t xml:space="preserve">trength </w:t>
      </w:r>
      <w:r w:rsidR="005A3883">
        <w:rPr>
          <w:rFonts w:ascii="Times New Roman" w:hAnsi="Times New Roman" w:cs="Arial"/>
          <w:sz w:val="24"/>
        </w:rPr>
        <w:t>–</w:t>
      </w:r>
      <w:r>
        <w:rPr>
          <w:rFonts w:ascii="Times New Roman" w:hAnsi="Times New Roman" w:cs="Arial"/>
          <w:sz w:val="24"/>
        </w:rPr>
        <w:t xml:space="preserve"> </w:t>
      </w:r>
      <w:r w:rsidR="005A3883">
        <w:rPr>
          <w:rFonts w:ascii="Times New Roman" w:hAnsi="Times New Roman" w:cs="Arial"/>
          <w:sz w:val="24"/>
        </w:rPr>
        <w:t>m</w:t>
      </w:r>
      <w:r w:rsidRPr="003676A5">
        <w:rPr>
          <w:rFonts w:ascii="Times New Roman" w:hAnsi="Times New Roman" w:cs="Times New Roman"/>
          <w:sz w:val="24"/>
          <w:szCs w:val="24"/>
        </w:rPr>
        <w:t>easured</w:t>
      </w:r>
      <w:r w:rsidR="005A3883">
        <w:rPr>
          <w:rFonts w:ascii="Times New Roman" w:hAnsi="Times New Roman" w:cs="Times New Roman"/>
          <w:sz w:val="24"/>
          <w:szCs w:val="24"/>
        </w:rPr>
        <w:t xml:space="preserve"> </w:t>
      </w:r>
      <w:r w:rsidRPr="003676A5">
        <w:rPr>
          <w:rFonts w:ascii="Times New Roman" w:hAnsi="Times New Roman" w:cs="Times New Roman"/>
          <w:sz w:val="24"/>
          <w:szCs w:val="24"/>
        </w:rPr>
        <w:t xml:space="preserve">with a </w:t>
      </w:r>
      <w:proofErr w:type="spellStart"/>
      <w:r w:rsidRPr="003676A5">
        <w:rPr>
          <w:rFonts w:ascii="Times New Roman" w:hAnsi="Times New Roman" w:cs="Times New Roman"/>
          <w:sz w:val="24"/>
          <w:szCs w:val="24"/>
        </w:rPr>
        <w:t>Jamar</w:t>
      </w:r>
      <w:proofErr w:type="spellEnd"/>
      <w:r w:rsidRPr="003676A5">
        <w:rPr>
          <w:rFonts w:ascii="Times New Roman" w:hAnsi="Times New Roman" w:cs="Times New Roman"/>
          <w:sz w:val="24"/>
          <w:szCs w:val="24"/>
        </w:rPr>
        <w:t xml:space="preserve"> dynamometer.</w:t>
      </w:r>
      <w:r>
        <w:rPr>
          <w:rFonts w:ascii="Times New Roman" w:hAnsi="Times New Roman"/>
          <w:sz w:val="24"/>
          <w:lang w:val="en-US"/>
        </w:rPr>
        <w:t xml:space="preserve"> Each subject will stand, with elbow slightly flexed, and exert maximum pressure. The average of 3 a</w:t>
      </w:r>
      <w:r w:rsidR="00ED22B7">
        <w:rPr>
          <w:rFonts w:ascii="Times New Roman" w:hAnsi="Times New Roman"/>
          <w:sz w:val="24"/>
          <w:lang w:val="en-US"/>
        </w:rPr>
        <w:t>ttempts will be recorded as per the manufacturer instructions.</w:t>
      </w:r>
    </w:p>
    <w:p w:rsidR="00ED22B7" w:rsidRPr="00ED22B7" w:rsidRDefault="00ED22B7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2B7">
        <w:rPr>
          <w:rFonts w:ascii="Times New Roman" w:hAnsi="Times New Roman" w:cs="Times New Roman"/>
          <w:sz w:val="24"/>
          <w:szCs w:val="24"/>
        </w:rPr>
        <w:t xml:space="preserve">Resting </w:t>
      </w:r>
      <w:r w:rsidR="005A3883" w:rsidRPr="00ED22B7">
        <w:rPr>
          <w:rFonts w:ascii="Times New Roman" w:hAnsi="Times New Roman" w:cs="Times New Roman"/>
          <w:sz w:val="24"/>
          <w:szCs w:val="24"/>
        </w:rPr>
        <w:t>energy expenditure</w:t>
      </w:r>
      <w:r w:rsidR="0036798B">
        <w:rPr>
          <w:rFonts w:ascii="Times New Roman" w:hAnsi="Times New Roman" w:cs="Arial"/>
          <w:sz w:val="24"/>
        </w:rPr>
        <w:t xml:space="preserve"> – </w:t>
      </w:r>
      <w:r w:rsidR="004D495A">
        <w:rPr>
          <w:rFonts w:ascii="Times New Roman" w:hAnsi="Times New Roman" w:cs="Times New Roman"/>
          <w:sz w:val="24"/>
          <w:szCs w:val="24"/>
        </w:rPr>
        <w:t>d</w:t>
      </w:r>
      <w:r w:rsidRPr="00ED22B7">
        <w:rPr>
          <w:rFonts w:ascii="Times New Roman" w:hAnsi="Times New Roman" w:cs="Times New Roman"/>
          <w:sz w:val="24"/>
          <w:szCs w:val="24"/>
        </w:rPr>
        <w:t xml:space="preserve">etermined by indirect </w:t>
      </w:r>
      <w:proofErr w:type="spellStart"/>
      <w:r w:rsidRPr="00ED22B7">
        <w:rPr>
          <w:rFonts w:ascii="Times New Roman" w:hAnsi="Times New Roman" w:cs="Times New Roman"/>
          <w:sz w:val="24"/>
          <w:szCs w:val="24"/>
        </w:rPr>
        <w:t>cal</w:t>
      </w:r>
      <w:r w:rsidR="005A3883">
        <w:rPr>
          <w:rFonts w:ascii="Times New Roman" w:hAnsi="Times New Roman" w:cs="Times New Roman"/>
          <w:sz w:val="24"/>
          <w:szCs w:val="24"/>
        </w:rPr>
        <w:t>o</w:t>
      </w:r>
      <w:r w:rsidRPr="00ED22B7">
        <w:rPr>
          <w:rFonts w:ascii="Times New Roman" w:hAnsi="Times New Roman" w:cs="Times New Roman"/>
          <w:sz w:val="24"/>
          <w:szCs w:val="24"/>
        </w:rPr>
        <w:t>r</w:t>
      </w:r>
      <w:r w:rsidR="005A3883">
        <w:rPr>
          <w:rFonts w:ascii="Times New Roman" w:hAnsi="Times New Roman" w:cs="Times New Roman"/>
          <w:sz w:val="24"/>
          <w:szCs w:val="24"/>
        </w:rPr>
        <w:t>i</w:t>
      </w:r>
      <w:r w:rsidRPr="00ED22B7">
        <w:rPr>
          <w:rFonts w:ascii="Times New Roman" w:hAnsi="Times New Roman" w:cs="Times New Roman"/>
          <w:sz w:val="24"/>
          <w:szCs w:val="24"/>
        </w:rPr>
        <w:t>metry</w:t>
      </w:r>
      <w:proofErr w:type="spellEnd"/>
      <w:r w:rsidRPr="00ED22B7">
        <w:rPr>
          <w:rFonts w:ascii="Times New Roman" w:hAnsi="Times New Roman" w:cs="Times New Roman"/>
          <w:sz w:val="24"/>
          <w:szCs w:val="24"/>
        </w:rPr>
        <w:t xml:space="preserve"> using a </w:t>
      </w:r>
      <w:proofErr w:type="spellStart"/>
      <w:r w:rsidRPr="00ED22B7">
        <w:rPr>
          <w:rFonts w:ascii="Times New Roman" w:hAnsi="Times New Roman" w:cs="Times New Roman"/>
          <w:sz w:val="24"/>
          <w:szCs w:val="24"/>
        </w:rPr>
        <w:t>TrueOne</w:t>
      </w:r>
      <w:proofErr w:type="spellEnd"/>
      <w:r w:rsidRPr="00ED22B7">
        <w:rPr>
          <w:rFonts w:ascii="Times New Roman" w:hAnsi="Times New Roman" w:cs="Times New Roman"/>
          <w:sz w:val="24"/>
          <w:szCs w:val="24"/>
        </w:rPr>
        <w:t xml:space="preserve"> 2400 Metabolic Measurement system (</w:t>
      </w:r>
      <w:proofErr w:type="spellStart"/>
      <w:r w:rsidRPr="00ED22B7">
        <w:rPr>
          <w:rFonts w:ascii="Times New Roman" w:hAnsi="Times New Roman" w:cs="Times New Roman"/>
          <w:sz w:val="24"/>
          <w:szCs w:val="24"/>
        </w:rPr>
        <w:t>Parvo</w:t>
      </w:r>
      <w:proofErr w:type="spellEnd"/>
      <w:r w:rsidRPr="00ED22B7">
        <w:rPr>
          <w:rFonts w:ascii="Times New Roman" w:hAnsi="Times New Roman" w:cs="Times New Roman"/>
          <w:sz w:val="24"/>
          <w:szCs w:val="24"/>
        </w:rPr>
        <w:t xml:space="preserve"> Medics Inc., Yorba Sandy, Utah). </w:t>
      </w:r>
      <w:r>
        <w:rPr>
          <w:rFonts w:ascii="Times New Roman" w:hAnsi="Times New Roman" w:cs="Times New Roman"/>
          <w:sz w:val="24"/>
          <w:szCs w:val="24"/>
        </w:rPr>
        <w:t>Subjects will li</w:t>
      </w:r>
      <w:r w:rsidR="005A3883">
        <w:rPr>
          <w:rFonts w:ascii="Times New Roman" w:hAnsi="Times New Roman" w:cs="Times New Roman"/>
          <w:sz w:val="24"/>
          <w:szCs w:val="24"/>
        </w:rPr>
        <w:t>e supine in a quiet temperature-</w:t>
      </w:r>
      <w:r>
        <w:rPr>
          <w:rFonts w:ascii="Times New Roman" w:hAnsi="Times New Roman" w:cs="Times New Roman"/>
          <w:sz w:val="24"/>
          <w:szCs w:val="24"/>
        </w:rPr>
        <w:t>controlled environment. The fir</w:t>
      </w:r>
      <w:r w:rsidR="005A3883">
        <w:rPr>
          <w:rFonts w:ascii="Times New Roman" w:hAnsi="Times New Roman" w:cs="Times New Roman"/>
          <w:sz w:val="24"/>
          <w:szCs w:val="24"/>
        </w:rPr>
        <w:t>st 10 minutes will be discarded, then 30-</w:t>
      </w:r>
      <w:r>
        <w:rPr>
          <w:rFonts w:ascii="Times New Roman" w:hAnsi="Times New Roman" w:cs="Times New Roman"/>
          <w:sz w:val="24"/>
          <w:szCs w:val="24"/>
        </w:rPr>
        <w:t xml:space="preserve">second energy expenditure values from 10–30 minutes </w:t>
      </w:r>
      <w:r w:rsidR="005A3883">
        <w:rPr>
          <w:rFonts w:ascii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hAnsi="Times New Roman" w:cs="Times New Roman"/>
          <w:sz w:val="24"/>
          <w:szCs w:val="24"/>
        </w:rPr>
        <w:t>recorded, and an average value calculated to give a final score.</w:t>
      </w:r>
    </w:p>
    <w:p w:rsidR="00ED22B7" w:rsidRPr="00ED22B7" w:rsidRDefault="00ED22B7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22B7">
        <w:rPr>
          <w:rFonts w:ascii="Times New Roman" w:hAnsi="Times New Roman" w:cs="Times New Roman"/>
          <w:sz w:val="24"/>
          <w:szCs w:val="24"/>
        </w:rPr>
        <w:t xml:space="preserve">Carotid </w:t>
      </w:r>
      <w:r w:rsidR="005A3883">
        <w:rPr>
          <w:rFonts w:ascii="Times New Roman" w:hAnsi="Times New Roman" w:cs="Times New Roman"/>
          <w:sz w:val="24"/>
          <w:szCs w:val="24"/>
        </w:rPr>
        <w:t>i</w:t>
      </w:r>
      <w:r w:rsidRPr="00ED22B7">
        <w:rPr>
          <w:rFonts w:ascii="Times New Roman" w:hAnsi="Times New Roman" w:cs="Times New Roman"/>
          <w:sz w:val="24"/>
          <w:szCs w:val="24"/>
        </w:rPr>
        <w:t xml:space="preserve">ntima </w:t>
      </w:r>
      <w:r w:rsidR="005A3883">
        <w:rPr>
          <w:rFonts w:ascii="Times New Roman" w:hAnsi="Times New Roman" w:cs="Times New Roman"/>
          <w:sz w:val="24"/>
          <w:szCs w:val="24"/>
        </w:rPr>
        <w:t>t</w:t>
      </w:r>
      <w:r w:rsidRPr="00ED22B7">
        <w:rPr>
          <w:rFonts w:ascii="Times New Roman" w:hAnsi="Times New Roman" w:cs="Times New Roman"/>
          <w:sz w:val="24"/>
          <w:szCs w:val="24"/>
        </w:rPr>
        <w:t>hickness measurement</w:t>
      </w:r>
      <w:r w:rsidR="0036798B">
        <w:rPr>
          <w:rFonts w:ascii="Times New Roman" w:hAnsi="Times New Roman" w:cs="Arial"/>
          <w:sz w:val="24"/>
        </w:rPr>
        <w:t xml:space="preserve"> – </w:t>
      </w:r>
      <w:r w:rsidR="00D63586">
        <w:rPr>
          <w:rFonts w:ascii="Times New Roman" w:hAnsi="Times New Roman" w:cs="Arial"/>
          <w:sz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easured on the far wall of the right carotid artery using carotid ultrasound (M-Turbo), 10</w:t>
      </w:r>
      <w:r w:rsidR="00D635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mm from the carotid bulb. The largest measurement from at least 5 images taken will be recorded.</w:t>
      </w:r>
    </w:p>
    <w:p w:rsidR="00ED22B7" w:rsidRPr="00ED22B7" w:rsidRDefault="00ED22B7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Insulin sensitivity biomarkers</w:t>
      </w:r>
      <w:r w:rsidR="0036798B">
        <w:rPr>
          <w:rFonts w:ascii="Times New Roman" w:hAnsi="Times New Roman" w:cs="Arial"/>
          <w:sz w:val="24"/>
        </w:rPr>
        <w:t xml:space="preserve"> – </w:t>
      </w:r>
      <w:r w:rsidR="00AC5BFF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asting blood samples will be used to measure </w:t>
      </w:r>
      <w:r w:rsidRPr="009F1212">
        <w:rPr>
          <w:rFonts w:ascii="Times New Roman" w:hAnsi="Times New Roman" w:cs="Arial"/>
          <w:sz w:val="24"/>
        </w:rPr>
        <w:t xml:space="preserve">serum IGF-I, IGF-II, IGFBP-1, </w:t>
      </w:r>
      <w:proofErr w:type="gramStart"/>
      <w:r w:rsidRPr="009F1212">
        <w:rPr>
          <w:rFonts w:ascii="Times New Roman" w:hAnsi="Times New Roman" w:cs="Arial"/>
          <w:sz w:val="24"/>
        </w:rPr>
        <w:t>IGFBP</w:t>
      </w:r>
      <w:proofErr w:type="gramEnd"/>
      <w:r w:rsidRPr="009F1212">
        <w:rPr>
          <w:rFonts w:ascii="Times New Roman" w:hAnsi="Times New Roman" w:cs="Arial"/>
          <w:sz w:val="24"/>
        </w:rPr>
        <w:t>-3</w:t>
      </w:r>
      <w:r>
        <w:rPr>
          <w:rFonts w:ascii="Times New Roman" w:hAnsi="Times New Roman" w:cs="Arial"/>
          <w:sz w:val="24"/>
        </w:rPr>
        <w:t xml:space="preserve"> </w:t>
      </w:r>
      <w:r w:rsidRPr="009F1212">
        <w:rPr>
          <w:rFonts w:ascii="Times New Roman" w:hAnsi="Times New Roman" w:cs="Arial"/>
          <w:sz w:val="24"/>
        </w:rPr>
        <w:t>IL-6, TNF</w:t>
      </w:r>
      <w:r w:rsidRPr="009F1212">
        <w:rPr>
          <w:rFonts w:ascii="Times New Roman" w:hAnsi="Times New Roman" w:cstheme="minorHAnsi"/>
          <w:sz w:val="24"/>
        </w:rPr>
        <w:t>α</w:t>
      </w:r>
      <w:r w:rsidRPr="009F1212">
        <w:rPr>
          <w:rFonts w:ascii="Times New Roman" w:hAnsi="Times New Roman" w:cs="Arial"/>
          <w:sz w:val="24"/>
        </w:rPr>
        <w:t>, CRP</w:t>
      </w:r>
      <w:r>
        <w:rPr>
          <w:rFonts w:ascii="Times New Roman" w:hAnsi="Times New Roman" w:cs="Arial"/>
          <w:sz w:val="24"/>
        </w:rPr>
        <w:t>. E</w:t>
      </w:r>
      <w:r w:rsidR="00933695">
        <w:rPr>
          <w:rFonts w:ascii="Times New Roman" w:hAnsi="Times New Roman" w:cs="Arial"/>
          <w:sz w:val="24"/>
        </w:rPr>
        <w:t>LISA</w:t>
      </w:r>
      <w:r>
        <w:rPr>
          <w:rFonts w:ascii="Times New Roman" w:hAnsi="Times New Roman" w:cs="Arial"/>
          <w:sz w:val="24"/>
        </w:rPr>
        <w:t xml:space="preserve"> kits will be used.</w:t>
      </w:r>
    </w:p>
    <w:p w:rsidR="00ED22B7" w:rsidRPr="00ED22B7" w:rsidRDefault="00ED22B7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</w:rPr>
        <w:t>Lipid profile</w:t>
      </w:r>
      <w:r w:rsidR="00A716A2">
        <w:rPr>
          <w:rFonts w:ascii="Times New Roman" w:hAnsi="Times New Roman" w:cs="Arial"/>
          <w:sz w:val="24"/>
        </w:rPr>
        <w:t xml:space="preserve"> – </w:t>
      </w:r>
      <w:r w:rsidR="00AC5BFF">
        <w:rPr>
          <w:rFonts w:ascii="Times New Roman" w:hAnsi="Times New Roman" w:cs="Arial"/>
          <w:sz w:val="24"/>
        </w:rPr>
        <w:t>f</w:t>
      </w:r>
      <w:r>
        <w:rPr>
          <w:rFonts w:ascii="Times New Roman" w:hAnsi="Times New Roman" w:cs="Arial"/>
          <w:sz w:val="24"/>
        </w:rPr>
        <w:t xml:space="preserve">asting blood samples for plasma </w:t>
      </w:r>
      <w:r w:rsidRPr="009F1212">
        <w:rPr>
          <w:rFonts w:ascii="Times New Roman" w:hAnsi="Times New Roman" w:cs="Arial"/>
          <w:sz w:val="24"/>
        </w:rPr>
        <w:t>total cholesterol, triglycerides, LDL-C and HDL-C</w:t>
      </w:r>
      <w:r>
        <w:rPr>
          <w:rFonts w:ascii="Times New Roman" w:hAnsi="Times New Roman" w:cs="Arial"/>
          <w:sz w:val="24"/>
        </w:rPr>
        <w:t>.</w:t>
      </w:r>
    </w:p>
    <w:p w:rsidR="00ED22B7" w:rsidRPr="00933695" w:rsidRDefault="00ED22B7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</w:rPr>
        <w:t>Liver function tests</w:t>
      </w:r>
      <w:r w:rsidR="00A716A2">
        <w:rPr>
          <w:rFonts w:ascii="Times New Roman" w:hAnsi="Times New Roman" w:cs="Arial"/>
          <w:sz w:val="24"/>
        </w:rPr>
        <w:t xml:space="preserve"> – </w:t>
      </w:r>
      <w:r w:rsidR="00AC5BFF">
        <w:rPr>
          <w:rFonts w:ascii="Times New Roman" w:hAnsi="Times New Roman" w:cs="Arial"/>
          <w:sz w:val="24"/>
        </w:rPr>
        <w:t>f</w:t>
      </w:r>
      <w:r>
        <w:rPr>
          <w:rFonts w:ascii="Times New Roman" w:hAnsi="Times New Roman" w:cs="Arial"/>
          <w:sz w:val="24"/>
        </w:rPr>
        <w:t xml:space="preserve">asting blood samples for </w:t>
      </w:r>
      <w:r w:rsidRPr="009F1212">
        <w:rPr>
          <w:rFonts w:ascii="Times New Roman" w:hAnsi="Times New Roman" w:cs="Arial"/>
          <w:sz w:val="24"/>
        </w:rPr>
        <w:t>GGT, ALT, AST,</w:t>
      </w:r>
      <w:r>
        <w:rPr>
          <w:rFonts w:ascii="Times New Roman" w:hAnsi="Times New Roman" w:cs="Arial"/>
          <w:sz w:val="24"/>
        </w:rPr>
        <w:t xml:space="preserve"> ALP.</w:t>
      </w:r>
    </w:p>
    <w:p w:rsidR="00AC5BFF" w:rsidRPr="00AC5BFF" w:rsidRDefault="00933695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BFF">
        <w:rPr>
          <w:rFonts w:ascii="Times New Roman" w:hAnsi="Times New Roman" w:cs="Arial"/>
          <w:sz w:val="24"/>
        </w:rPr>
        <w:t>Oxidized LDL</w:t>
      </w:r>
      <w:r w:rsidR="00A716A2" w:rsidRPr="00AC5BFF">
        <w:rPr>
          <w:rFonts w:ascii="Times New Roman" w:hAnsi="Times New Roman" w:cs="Arial"/>
          <w:sz w:val="24"/>
        </w:rPr>
        <w:t xml:space="preserve"> – </w:t>
      </w:r>
      <w:proofErr w:type="gramStart"/>
      <w:r w:rsidR="00AC5BFF" w:rsidRPr="00AC5BFF">
        <w:rPr>
          <w:rFonts w:ascii="Times New Roman" w:hAnsi="Times New Roman" w:cs="Arial"/>
          <w:sz w:val="24"/>
        </w:rPr>
        <w:t>f</w:t>
      </w:r>
      <w:r w:rsidR="00AC5BFF">
        <w:rPr>
          <w:rFonts w:ascii="Times New Roman" w:hAnsi="Times New Roman" w:cs="Arial"/>
          <w:sz w:val="24"/>
        </w:rPr>
        <w:t>asting</w:t>
      </w:r>
      <w:proofErr w:type="gramEnd"/>
      <w:r w:rsidR="00AC5BFF">
        <w:rPr>
          <w:rFonts w:ascii="Times New Roman" w:hAnsi="Times New Roman" w:cs="Arial"/>
          <w:sz w:val="24"/>
        </w:rPr>
        <w:t xml:space="preserve"> sample.</w:t>
      </w:r>
    </w:p>
    <w:p w:rsidR="00ED22B7" w:rsidRPr="00AC5BFF" w:rsidRDefault="00ED22B7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5BFF">
        <w:rPr>
          <w:rFonts w:ascii="Times New Roman" w:hAnsi="Times New Roman" w:cs="Arial"/>
          <w:sz w:val="24"/>
        </w:rPr>
        <w:t>Bone turnover</w:t>
      </w:r>
      <w:r w:rsidR="00A716A2" w:rsidRPr="00AC5BFF">
        <w:rPr>
          <w:rFonts w:ascii="Times New Roman" w:hAnsi="Times New Roman" w:cs="Arial"/>
          <w:sz w:val="24"/>
        </w:rPr>
        <w:t xml:space="preserve"> – </w:t>
      </w:r>
      <w:r w:rsidR="00AC5BFF">
        <w:rPr>
          <w:rFonts w:ascii="Times New Roman" w:hAnsi="Times New Roman" w:cs="Arial"/>
          <w:sz w:val="24"/>
        </w:rPr>
        <w:t>f</w:t>
      </w:r>
      <w:r w:rsidRPr="00AC5BFF">
        <w:rPr>
          <w:rFonts w:ascii="Times New Roman" w:hAnsi="Times New Roman" w:cs="Arial"/>
          <w:sz w:val="24"/>
        </w:rPr>
        <w:t xml:space="preserve">asting blood sample for serum </w:t>
      </w:r>
      <w:r w:rsidR="00AC5BFF">
        <w:rPr>
          <w:rFonts w:ascii="Times New Roman" w:hAnsi="Times New Roman" w:cs="Arial"/>
          <w:sz w:val="24"/>
        </w:rPr>
        <w:t>bone-</w:t>
      </w:r>
      <w:r w:rsidRPr="00AC5BFF">
        <w:rPr>
          <w:rFonts w:ascii="Times New Roman" w:hAnsi="Times New Roman" w:cs="Arial"/>
          <w:sz w:val="24"/>
        </w:rPr>
        <w:t>specific ALP (ELISA).</w:t>
      </w:r>
    </w:p>
    <w:p w:rsidR="00933695" w:rsidRPr="00933695" w:rsidRDefault="00933695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</w:rPr>
        <w:t xml:space="preserve">Physical </w:t>
      </w:r>
      <w:r w:rsidR="00AC5BFF">
        <w:rPr>
          <w:rFonts w:ascii="Times New Roman" w:hAnsi="Times New Roman" w:cs="Arial"/>
          <w:sz w:val="24"/>
        </w:rPr>
        <w:t>a</w:t>
      </w:r>
      <w:r>
        <w:rPr>
          <w:rFonts w:ascii="Times New Roman" w:hAnsi="Times New Roman" w:cs="Arial"/>
          <w:sz w:val="24"/>
        </w:rPr>
        <w:t>ctivity</w:t>
      </w:r>
      <w:r w:rsidR="00A716A2">
        <w:rPr>
          <w:rFonts w:ascii="Times New Roman" w:hAnsi="Times New Roman" w:cs="Arial"/>
          <w:sz w:val="24"/>
        </w:rPr>
        <w:t xml:space="preserve"> – </w:t>
      </w:r>
      <w:r>
        <w:rPr>
          <w:rFonts w:ascii="Times New Roman" w:hAnsi="Times New Roman" w:cs="Arial"/>
          <w:sz w:val="24"/>
        </w:rPr>
        <w:t>IPAQ questionnaire recording physical activity for the prior 7 days will occur at each assessment</w:t>
      </w:r>
      <w:r w:rsidR="00AC5BFF">
        <w:rPr>
          <w:rFonts w:ascii="Times New Roman" w:hAnsi="Times New Roman" w:cs="Arial"/>
          <w:sz w:val="24"/>
        </w:rPr>
        <w:t>.</w:t>
      </w:r>
    </w:p>
    <w:p w:rsidR="00933695" w:rsidRPr="00933695" w:rsidRDefault="00933695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</w:rPr>
        <w:t>Dietary intake</w:t>
      </w:r>
      <w:r w:rsidR="00A716A2">
        <w:rPr>
          <w:rFonts w:ascii="Times New Roman" w:hAnsi="Times New Roman" w:cs="Arial"/>
          <w:sz w:val="24"/>
        </w:rPr>
        <w:t xml:space="preserve"> – </w:t>
      </w:r>
      <w:r>
        <w:rPr>
          <w:rFonts w:ascii="Times New Roman" w:hAnsi="Times New Roman" w:cs="Arial"/>
          <w:sz w:val="24"/>
        </w:rPr>
        <w:t>3</w:t>
      </w:r>
      <w:r w:rsidR="00E304A4">
        <w:rPr>
          <w:rFonts w:ascii="Times New Roman" w:hAnsi="Times New Roman" w:cs="Arial"/>
          <w:sz w:val="24"/>
        </w:rPr>
        <w:t>-</w:t>
      </w:r>
      <w:r>
        <w:rPr>
          <w:rFonts w:ascii="Times New Roman" w:hAnsi="Times New Roman" w:cs="Arial"/>
          <w:sz w:val="24"/>
        </w:rPr>
        <w:t xml:space="preserve">day food records (2 work days, one weekend) will be collected at each assessment. Energy and macronutrient intakes calculated using </w:t>
      </w:r>
      <w:proofErr w:type="spellStart"/>
      <w:r>
        <w:rPr>
          <w:rFonts w:ascii="Times New Roman" w:hAnsi="Times New Roman" w:cs="Arial"/>
          <w:sz w:val="24"/>
        </w:rPr>
        <w:t>Food</w:t>
      </w:r>
      <w:r w:rsidR="00E304A4">
        <w:rPr>
          <w:rFonts w:ascii="Times New Roman" w:hAnsi="Times New Roman" w:cs="Arial"/>
          <w:sz w:val="24"/>
        </w:rPr>
        <w:t>W</w:t>
      </w:r>
      <w:r>
        <w:rPr>
          <w:rFonts w:ascii="Times New Roman" w:hAnsi="Times New Roman" w:cs="Arial"/>
          <w:sz w:val="24"/>
        </w:rPr>
        <w:t>orks</w:t>
      </w:r>
      <w:proofErr w:type="spellEnd"/>
      <w:r>
        <w:rPr>
          <w:rFonts w:ascii="Times New Roman" w:hAnsi="Times New Roman" w:cs="Arial"/>
          <w:sz w:val="24"/>
        </w:rPr>
        <w:t xml:space="preserve"> Software.</w:t>
      </w:r>
    </w:p>
    <w:p w:rsidR="00933695" w:rsidRPr="00ED22B7" w:rsidRDefault="00933695" w:rsidP="00E421B2">
      <w:pPr>
        <w:pStyle w:val="ListParagraph"/>
        <w:numPr>
          <w:ilvl w:val="0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Arial"/>
          <w:sz w:val="24"/>
        </w:rPr>
        <w:t>Side effect monitoring</w:t>
      </w:r>
      <w:r w:rsidR="00A716A2">
        <w:rPr>
          <w:rFonts w:ascii="Times New Roman" w:hAnsi="Times New Roman" w:cs="Arial"/>
          <w:sz w:val="24"/>
        </w:rPr>
        <w:t xml:space="preserve"> – </w:t>
      </w:r>
      <w:r w:rsidR="00403329">
        <w:rPr>
          <w:rFonts w:ascii="Times New Roman" w:hAnsi="Times New Roman" w:cs="Arial"/>
          <w:sz w:val="24"/>
        </w:rPr>
        <w:t>a</w:t>
      </w:r>
      <w:r>
        <w:rPr>
          <w:rFonts w:ascii="Times New Roman" w:hAnsi="Times New Roman" w:cs="Arial"/>
          <w:sz w:val="24"/>
        </w:rPr>
        <w:t>t each assessment subjects will be asked to report any side effects from the intervention.</w:t>
      </w:r>
    </w:p>
    <w:p w:rsidR="00236C47" w:rsidRPr="009F1212" w:rsidRDefault="00236C47" w:rsidP="009F1212">
      <w:pPr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</w:p>
    <w:p w:rsidR="00990230" w:rsidRPr="009F1212" w:rsidRDefault="00933695" w:rsidP="00403329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 xml:space="preserve">Following statistical analysis, all subjects will be informed of their individual results. Any concerning results will be discussed with them and referred to their General Practitioner. </w:t>
      </w:r>
    </w:p>
    <w:p w:rsidR="00E433F3" w:rsidRPr="009F1212" w:rsidRDefault="00E433F3" w:rsidP="009F1212">
      <w:pPr>
        <w:spacing w:after="0" w:line="360" w:lineRule="auto"/>
        <w:rPr>
          <w:rFonts w:ascii="Times New Roman" w:hAnsi="Times New Roman"/>
          <w:sz w:val="24"/>
          <w:lang w:val="en-US"/>
        </w:rPr>
      </w:pPr>
    </w:p>
    <w:sectPr w:rsidR="00E433F3" w:rsidRPr="009F1212" w:rsidSect="00403329">
      <w:footerReference w:type="even" r:id="rId9"/>
      <w:footerReference w:type="default" r:id="rId10"/>
      <w:pgSz w:w="11906" w:h="16838"/>
      <w:pgMar w:top="1361" w:right="1361" w:bottom="1361" w:left="13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01" w:rsidRDefault="002D0001" w:rsidP="009F1212">
      <w:pPr>
        <w:spacing w:after="0" w:line="240" w:lineRule="auto"/>
      </w:pPr>
      <w:r>
        <w:separator/>
      </w:r>
    </w:p>
  </w:endnote>
  <w:endnote w:type="continuationSeparator" w:id="0">
    <w:p w:rsidR="002D0001" w:rsidRDefault="002D0001" w:rsidP="009F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2" w:rsidRDefault="00DB095F" w:rsidP="00DB6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12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1212" w:rsidRDefault="009F1212" w:rsidP="009F12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2" w:rsidRDefault="00DB095F" w:rsidP="00DB62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12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FDC">
      <w:rPr>
        <w:rStyle w:val="PageNumber"/>
        <w:noProof/>
      </w:rPr>
      <w:t>1</w:t>
    </w:r>
    <w:r>
      <w:rPr>
        <w:rStyle w:val="PageNumber"/>
      </w:rPr>
      <w:fldChar w:fldCharType="end"/>
    </w:r>
  </w:p>
  <w:p w:rsidR="009F1212" w:rsidRDefault="009F1212" w:rsidP="009F12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01" w:rsidRDefault="002D0001" w:rsidP="009F1212">
      <w:pPr>
        <w:spacing w:after="0" w:line="240" w:lineRule="auto"/>
      </w:pPr>
      <w:r>
        <w:separator/>
      </w:r>
    </w:p>
  </w:footnote>
  <w:footnote w:type="continuationSeparator" w:id="0">
    <w:p w:rsidR="002D0001" w:rsidRDefault="002D0001" w:rsidP="009F1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09BD"/>
    <w:multiLevelType w:val="multilevel"/>
    <w:tmpl w:val="B3B6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B795D"/>
    <w:multiLevelType w:val="hybridMultilevel"/>
    <w:tmpl w:val="711A73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25CD2"/>
    <w:multiLevelType w:val="hybridMultilevel"/>
    <w:tmpl w:val="649C1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73FA0"/>
    <w:multiLevelType w:val="hybridMultilevel"/>
    <w:tmpl w:val="BD981B40"/>
    <w:lvl w:ilvl="0" w:tplc="D50A8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3F3"/>
    <w:rsid w:val="000D1649"/>
    <w:rsid w:val="001E0F7F"/>
    <w:rsid w:val="001E2844"/>
    <w:rsid w:val="00236C47"/>
    <w:rsid w:val="002C6080"/>
    <w:rsid w:val="002D0001"/>
    <w:rsid w:val="003676A5"/>
    <w:rsid w:val="0036798B"/>
    <w:rsid w:val="00403329"/>
    <w:rsid w:val="004C7934"/>
    <w:rsid w:val="004D495A"/>
    <w:rsid w:val="004E0FF7"/>
    <w:rsid w:val="00521819"/>
    <w:rsid w:val="005437BE"/>
    <w:rsid w:val="005A3883"/>
    <w:rsid w:val="00636430"/>
    <w:rsid w:val="0064161B"/>
    <w:rsid w:val="009014A4"/>
    <w:rsid w:val="00933695"/>
    <w:rsid w:val="00934B1F"/>
    <w:rsid w:val="00990230"/>
    <w:rsid w:val="009F1212"/>
    <w:rsid w:val="00A716A2"/>
    <w:rsid w:val="00AC5BFF"/>
    <w:rsid w:val="00B23FDC"/>
    <w:rsid w:val="00BA2135"/>
    <w:rsid w:val="00BE205D"/>
    <w:rsid w:val="00D63586"/>
    <w:rsid w:val="00D80EFB"/>
    <w:rsid w:val="00DA072A"/>
    <w:rsid w:val="00DB095F"/>
    <w:rsid w:val="00DE5131"/>
    <w:rsid w:val="00E304A4"/>
    <w:rsid w:val="00E421B2"/>
    <w:rsid w:val="00E433F3"/>
    <w:rsid w:val="00E5796D"/>
    <w:rsid w:val="00E90A35"/>
    <w:rsid w:val="00ED22B7"/>
    <w:rsid w:val="00F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E433F3"/>
    <w:pPr>
      <w:spacing w:before="80"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12"/>
  </w:style>
  <w:style w:type="character" w:styleId="PageNumber">
    <w:name w:val="page number"/>
    <w:basedOn w:val="DefaultParagraphFont"/>
    <w:uiPriority w:val="99"/>
    <w:semiHidden/>
    <w:unhideWhenUsed/>
    <w:rsid w:val="009F1212"/>
  </w:style>
  <w:style w:type="paragraph" w:styleId="BalloonText">
    <w:name w:val="Balloon Text"/>
    <w:basedOn w:val="Normal"/>
    <w:link w:val="BalloonTextChar"/>
    <w:uiPriority w:val="99"/>
    <w:semiHidden/>
    <w:unhideWhenUsed/>
    <w:rsid w:val="0054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Text"/>
    <w:basedOn w:val="Normal"/>
    <w:rsid w:val="00E433F3"/>
    <w:pPr>
      <w:spacing w:before="80"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212"/>
  </w:style>
  <w:style w:type="character" w:styleId="PageNumber">
    <w:name w:val="page number"/>
    <w:basedOn w:val="DefaultParagraphFont"/>
    <w:uiPriority w:val="99"/>
    <w:semiHidden/>
    <w:unhideWhenUsed/>
    <w:rsid w:val="009F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AF3A-83DD-4EBF-BFBE-33A32559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medit</dc:creator>
  <cp:lastModifiedBy>José G B Derraik</cp:lastModifiedBy>
  <cp:revision>18</cp:revision>
  <dcterms:created xsi:type="dcterms:W3CDTF">2012-10-14T20:41:00Z</dcterms:created>
  <dcterms:modified xsi:type="dcterms:W3CDTF">2013-01-30T22:19:00Z</dcterms:modified>
</cp:coreProperties>
</file>