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EB" w:rsidRDefault="00C92CEB" w:rsidP="00C92CEB">
      <w:pPr>
        <w:rPr>
          <w:sz w:val="24"/>
        </w:rPr>
      </w:pPr>
      <w:r w:rsidRPr="005C6122">
        <w:rPr>
          <w:b/>
          <w:sz w:val="24"/>
        </w:rPr>
        <w:t>Tab</w:t>
      </w:r>
      <w:r>
        <w:rPr>
          <w:b/>
          <w:sz w:val="24"/>
        </w:rPr>
        <w:t>le S1</w:t>
      </w:r>
      <w:r w:rsidRPr="005C6122">
        <w:rPr>
          <w:b/>
          <w:sz w:val="24"/>
        </w:rPr>
        <w:t>:</w:t>
      </w:r>
      <w:r w:rsidRPr="005C6122">
        <w:rPr>
          <w:sz w:val="24"/>
        </w:rPr>
        <w:t xml:space="preserve"> Samples used for Microarray Analysis</w:t>
      </w:r>
    </w:p>
    <w:p w:rsidR="00C92CEB" w:rsidRPr="001B0CBE" w:rsidRDefault="00C92CEB" w:rsidP="00C92CEB">
      <w:pPr>
        <w:rPr>
          <w:b/>
          <w:sz w:val="24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  <w:gridCol w:w="2380"/>
        <w:gridCol w:w="4168"/>
      </w:tblGrid>
      <w:tr w:rsidR="00C92CEB" w:rsidRPr="00ED78C4" w:rsidTr="00C824F2">
        <w:trPr>
          <w:trHeight w:val="330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2CEB" w:rsidRPr="005C6122" w:rsidRDefault="00C92CEB" w:rsidP="00C824F2">
            <w:pPr>
              <w:rPr>
                <w:rFonts w:eastAsia="Times New Roman"/>
                <w:b/>
              </w:rPr>
            </w:pPr>
            <w:r w:rsidRPr="005C6122">
              <w:rPr>
                <w:rFonts w:eastAsia="Times New Roman"/>
                <w:b/>
              </w:rPr>
              <w:t>Array Name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2CEB" w:rsidRPr="005C6122" w:rsidRDefault="00C92CEB" w:rsidP="00C824F2">
            <w:pPr>
              <w:rPr>
                <w:rFonts w:eastAsia="Times New Roman"/>
                <w:b/>
              </w:rPr>
            </w:pPr>
            <w:r w:rsidRPr="005C6122">
              <w:rPr>
                <w:rFonts w:eastAsia="Times New Roman"/>
                <w:b/>
              </w:rPr>
              <w:t>Group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EB" w:rsidRPr="005C6122" w:rsidRDefault="00C92CEB" w:rsidP="00C824F2">
            <w:pPr>
              <w:rPr>
                <w:b/>
                <w:bCs/>
              </w:rPr>
            </w:pPr>
            <w:r w:rsidRPr="005C6122">
              <w:rPr>
                <w:rFonts w:eastAsia="Times New Roman"/>
                <w:b/>
              </w:rPr>
              <w:t>Primary Diagnosis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tcBorders>
              <w:top w:val="single" w:sz="4" w:space="0" w:color="auto"/>
            </w:tcBorders>
            <w:noWrap/>
            <w:vAlign w:val="center"/>
          </w:tcPr>
          <w:p w:rsidR="00C92CEB" w:rsidRPr="005C6122" w:rsidRDefault="00C92CEB" w:rsidP="00C824F2">
            <w:r w:rsidRPr="005C6122">
              <w:t>KT979_01-30-07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noWrap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vAlign w:val="center"/>
          </w:tcPr>
          <w:p w:rsidR="00C92CEB" w:rsidRPr="005C6122" w:rsidRDefault="00C92CEB" w:rsidP="00C824F2">
            <w:r w:rsidRPr="005C6122">
              <w:t>"AR IA, recurrent GN"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KT496_01-30-07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KT1043_02-12-07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KT1100_02-14-07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KT863_03-21-07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 IA+DT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KT775_02-22-07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ARIA; suspicious for ARIIA; tubular atrophy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KT1086_02-12-07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ARIA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 xml:space="preserve">AR Banff IA + CAN ; positive C4D suggests humoral component; 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KT1045_02-12-07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ARIB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ARIB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KT942_02-14-07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ARIB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 IB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KT725_02-14-07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ARIB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 IB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KT543_01-30-07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ARIB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ARIB ARIIA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KT1070_02-22-07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ARIB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ARIB, ARIIA, features of humoral rejection with transplant glomerulopathy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KT649_02-22-07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ARIB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ARIB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KT673_02-14-07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BL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Borderline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KT578_02-14-07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BL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no definite AR, focal interstitial inflammation, potentially resolving AR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KT951_02-22-07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BL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AR Borderline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KT559_02-12-07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BL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borderline AR; CNIT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KT614_02-06-07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KT1239_2_18_09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KT641_06-25-07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KT387_02-07-07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KT901_06-28-07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KT905_06-25-07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KT417_02-07-07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KT588_02-06-07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KT889_06-28-07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KT903_2_16_09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KT839_06-25-07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KT860_2_16_09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KT929_2_16_09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KT977_06-28-07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KT540_02-06-07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KT612_02-06-07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STA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Normal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KT922_01-26-07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D0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lastRenderedPageBreak/>
              <w:t>KT613_01-26-07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D0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KT616_06-25-07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KT623_2_16_09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KT636_01-24-07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KT650_02-06-07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KT651_02-14-07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KT690-2_03-20-07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KT707-1_2_16_09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KT717_2_16_09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KT730_01-26-07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KT736_01-26-07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KT738_06-25-07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KT752_06-25-07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KT755_02-06-07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KT764_2_16_09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KT1018 B_2_24_09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KT776_05-25-07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KT778_2_16_09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KT781_02-01-07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KT783-1_2_16_09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KT796_05-25-07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KT801_06-25-07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KT812_05-25-07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KT814_05-25-07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KT816_06-25-07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KT818_05-25-07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vAlign w:val="center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KT819_06-25-07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KT1422_1_26_11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KT1441_1_26_11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KT412_02-01-07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>KT575</w:t>
            </w:r>
          </w:p>
        </w:tc>
        <w:tc>
          <w:tcPr>
            <w:tcW w:w="2380" w:type="dxa"/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</w:tcPr>
          <w:p w:rsidR="00C92CEB" w:rsidRPr="005C6122" w:rsidRDefault="00C92CEB" w:rsidP="00C824F2">
            <w:r w:rsidRPr="005C6122">
              <w:t>day zero</w:t>
            </w:r>
          </w:p>
        </w:tc>
      </w:tr>
      <w:tr w:rsidR="00C92CEB" w:rsidRPr="00ED78C4" w:rsidTr="00C824F2">
        <w:trPr>
          <w:trHeight w:val="330"/>
        </w:trPr>
        <w:tc>
          <w:tcPr>
            <w:tcW w:w="2380" w:type="dxa"/>
            <w:tcBorders>
              <w:bottom w:val="single" w:sz="4" w:space="0" w:color="auto"/>
            </w:tcBorders>
            <w:noWrap/>
            <w:vAlign w:val="center"/>
          </w:tcPr>
          <w:p w:rsidR="00C92CEB" w:rsidRPr="005C6122" w:rsidRDefault="00C92CEB" w:rsidP="00C824F2">
            <w:r w:rsidRPr="005C6122">
              <w:t>KT609_2_16_09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noWrap/>
            <w:vAlign w:val="center"/>
          </w:tcPr>
          <w:p w:rsidR="00C92CEB" w:rsidRPr="005C6122" w:rsidRDefault="00C92CEB" w:rsidP="00C824F2">
            <w:r w:rsidRPr="005C6122">
              <w:t xml:space="preserve">D0 </w:t>
            </w: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:rsidR="00C92CEB" w:rsidRPr="005C6122" w:rsidRDefault="00C92CEB" w:rsidP="00C824F2">
            <w:r w:rsidRPr="005C6122">
              <w:t>day zero</w:t>
            </w:r>
          </w:p>
        </w:tc>
      </w:tr>
    </w:tbl>
    <w:p w:rsidR="00C92CEB" w:rsidRDefault="00C92CEB" w:rsidP="00C92CEB">
      <w:pPr>
        <w:jc w:val="both"/>
        <w:rPr>
          <w:b/>
          <w:sz w:val="24"/>
        </w:rPr>
      </w:pPr>
    </w:p>
    <w:sectPr w:rsidR="00C92CEB" w:rsidSect="00C92CEB">
      <w:headerReference w:type="first" r:id="rId8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1F" w:rsidRDefault="006D191F" w:rsidP="004A10BE">
      <w:r>
        <w:separator/>
      </w:r>
    </w:p>
  </w:endnote>
  <w:endnote w:type="continuationSeparator" w:id="0">
    <w:p w:rsidR="006D191F" w:rsidRDefault="006D191F" w:rsidP="004A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1F" w:rsidRDefault="006D191F" w:rsidP="004A10BE">
      <w:r>
        <w:separator/>
      </w:r>
    </w:p>
  </w:footnote>
  <w:footnote w:type="continuationSeparator" w:id="0">
    <w:p w:rsidR="006D191F" w:rsidRDefault="006D191F" w:rsidP="004A1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2" w:rsidRDefault="00C824F2" w:rsidP="00C92CEB">
    <w:pPr>
      <w:jc w:val="center"/>
      <w:rPr>
        <w:i/>
        <w:color w:val="191919"/>
      </w:rPr>
    </w:pPr>
    <w:r w:rsidRPr="00C92CEB">
      <w:rPr>
        <w:i/>
        <w:color w:val="191919"/>
      </w:rPr>
      <w:t>Significance and Suppression of Redundant IL17 Responses in Acute Allograft Rejection by Bioinformatics based Drug Repositioning of Fenofibrate</w:t>
    </w:r>
  </w:p>
  <w:p w:rsidR="00C824F2" w:rsidRPr="00C92CEB" w:rsidRDefault="00C824F2" w:rsidP="00C92CEB">
    <w:pPr>
      <w:spacing w:line="480" w:lineRule="auto"/>
      <w:jc w:val="center"/>
      <w:rPr>
        <w:rFonts w:eastAsia="Times New Roman"/>
        <w:bCs/>
        <w:szCs w:val="24"/>
      </w:rPr>
    </w:pPr>
    <w:r w:rsidRPr="00C92CEB">
      <w:rPr>
        <w:rFonts w:eastAsia="Times New Roman"/>
        <w:bCs/>
        <w:szCs w:val="24"/>
      </w:rPr>
      <w:t>S. Roedder</w:t>
    </w:r>
    <w:r w:rsidRPr="00C92CEB">
      <w:rPr>
        <w:szCs w:val="24"/>
      </w:rPr>
      <w:t>†</w:t>
    </w:r>
    <w:r w:rsidRPr="00C92CEB">
      <w:rPr>
        <w:rFonts w:eastAsia="Times New Roman"/>
        <w:bCs/>
        <w:szCs w:val="24"/>
      </w:rPr>
      <w:t>, N. Kimura</w:t>
    </w:r>
    <w:r w:rsidRPr="00C92CEB">
      <w:rPr>
        <w:szCs w:val="24"/>
      </w:rPr>
      <w:t>†</w:t>
    </w:r>
    <w:r w:rsidRPr="00C92CEB">
      <w:rPr>
        <w:rFonts w:eastAsia="Times New Roman"/>
        <w:bCs/>
        <w:szCs w:val="24"/>
      </w:rPr>
      <w:t>, H. Okamura , S. Hsieh, Y. Gong</w:t>
    </w:r>
    <w:r w:rsidRPr="00C92CEB">
      <w:rPr>
        <w:rFonts w:eastAsia="Times New Roman"/>
        <w:bCs/>
        <w:szCs w:val="24"/>
        <w:vertAlign w:val="superscript"/>
      </w:rPr>
      <w:t xml:space="preserve"> </w:t>
    </w:r>
    <w:r w:rsidRPr="00C92CEB">
      <w:rPr>
        <w:rFonts w:eastAsia="Times New Roman"/>
        <w:bCs/>
        <w:szCs w:val="24"/>
      </w:rPr>
      <w:t>, M. M. Sarwal</w:t>
    </w:r>
    <w:r w:rsidRPr="00C92CEB">
      <w:rPr>
        <w:szCs w:val="24"/>
      </w:rPr>
      <w:t>*</w:t>
    </w:r>
  </w:p>
  <w:p w:rsidR="00C824F2" w:rsidRPr="00C92CEB" w:rsidRDefault="00C824F2" w:rsidP="00C92CEB">
    <w:pPr>
      <w:jc w:val="center"/>
      <w:rPr>
        <w:i/>
        <w:color w:val="191919"/>
      </w:rPr>
    </w:pPr>
  </w:p>
  <w:p w:rsidR="00C824F2" w:rsidRDefault="00C82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1C39AC"/>
    <w:multiLevelType w:val="hybridMultilevel"/>
    <w:tmpl w:val="01C8BC14"/>
    <w:lvl w:ilvl="0" w:tplc="D68A1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186716" w:tentative="1">
      <w:start w:val="1"/>
      <w:numFmt w:val="lowerLetter"/>
      <w:lvlText w:val="%2."/>
      <w:lvlJc w:val="left"/>
      <w:pPr>
        <w:ind w:left="1080" w:hanging="360"/>
      </w:pPr>
    </w:lvl>
    <w:lvl w:ilvl="2" w:tplc="0DEC75F8" w:tentative="1">
      <w:start w:val="1"/>
      <w:numFmt w:val="lowerRoman"/>
      <w:lvlText w:val="%3."/>
      <w:lvlJc w:val="right"/>
      <w:pPr>
        <w:ind w:left="1800" w:hanging="180"/>
      </w:pPr>
    </w:lvl>
    <w:lvl w:ilvl="3" w:tplc="322415DA" w:tentative="1">
      <w:start w:val="1"/>
      <w:numFmt w:val="decimal"/>
      <w:lvlText w:val="%4."/>
      <w:lvlJc w:val="left"/>
      <w:pPr>
        <w:ind w:left="2520" w:hanging="360"/>
      </w:pPr>
    </w:lvl>
    <w:lvl w:ilvl="4" w:tplc="A976BB70" w:tentative="1">
      <w:start w:val="1"/>
      <w:numFmt w:val="lowerLetter"/>
      <w:lvlText w:val="%5."/>
      <w:lvlJc w:val="left"/>
      <w:pPr>
        <w:ind w:left="3240" w:hanging="360"/>
      </w:pPr>
    </w:lvl>
    <w:lvl w:ilvl="5" w:tplc="45B0C612" w:tentative="1">
      <w:start w:val="1"/>
      <w:numFmt w:val="lowerRoman"/>
      <w:lvlText w:val="%6."/>
      <w:lvlJc w:val="right"/>
      <w:pPr>
        <w:ind w:left="3960" w:hanging="180"/>
      </w:pPr>
    </w:lvl>
    <w:lvl w:ilvl="6" w:tplc="22B292F4" w:tentative="1">
      <w:start w:val="1"/>
      <w:numFmt w:val="decimal"/>
      <w:lvlText w:val="%7."/>
      <w:lvlJc w:val="left"/>
      <w:pPr>
        <w:ind w:left="4680" w:hanging="360"/>
      </w:pPr>
    </w:lvl>
    <w:lvl w:ilvl="7" w:tplc="25DCF6AE" w:tentative="1">
      <w:start w:val="1"/>
      <w:numFmt w:val="lowerLetter"/>
      <w:lvlText w:val="%8."/>
      <w:lvlJc w:val="left"/>
      <w:pPr>
        <w:ind w:left="5400" w:hanging="360"/>
      </w:pPr>
    </w:lvl>
    <w:lvl w:ilvl="8" w:tplc="2794B0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D3307"/>
    <w:multiLevelType w:val="hybridMultilevel"/>
    <w:tmpl w:val="16C4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3C8"/>
    <w:multiLevelType w:val="hybridMultilevel"/>
    <w:tmpl w:val="87286E3C"/>
    <w:lvl w:ilvl="0" w:tplc="0BF8679C">
      <w:start w:val="1"/>
      <w:numFmt w:val="upperLetter"/>
      <w:lvlText w:val="%1)"/>
      <w:lvlJc w:val="left"/>
      <w:pPr>
        <w:ind w:left="720" w:hanging="360"/>
      </w:pPr>
      <w:rPr>
        <w:rFonts w:eastAsia="MS PGothic" w:hint="default"/>
      </w:rPr>
    </w:lvl>
    <w:lvl w:ilvl="1" w:tplc="3CDAFAEA" w:tentative="1">
      <w:start w:val="1"/>
      <w:numFmt w:val="lowerLetter"/>
      <w:lvlText w:val="%2."/>
      <w:lvlJc w:val="left"/>
      <w:pPr>
        <w:ind w:left="1440" w:hanging="360"/>
      </w:pPr>
    </w:lvl>
    <w:lvl w:ilvl="2" w:tplc="96EEC97E" w:tentative="1">
      <w:start w:val="1"/>
      <w:numFmt w:val="lowerRoman"/>
      <w:lvlText w:val="%3."/>
      <w:lvlJc w:val="right"/>
      <w:pPr>
        <w:ind w:left="2160" w:hanging="180"/>
      </w:pPr>
    </w:lvl>
    <w:lvl w:ilvl="3" w:tplc="9404F246" w:tentative="1">
      <w:start w:val="1"/>
      <w:numFmt w:val="decimal"/>
      <w:lvlText w:val="%4."/>
      <w:lvlJc w:val="left"/>
      <w:pPr>
        <w:ind w:left="2880" w:hanging="360"/>
      </w:pPr>
    </w:lvl>
    <w:lvl w:ilvl="4" w:tplc="1E4CA5FC" w:tentative="1">
      <w:start w:val="1"/>
      <w:numFmt w:val="lowerLetter"/>
      <w:lvlText w:val="%5."/>
      <w:lvlJc w:val="left"/>
      <w:pPr>
        <w:ind w:left="3600" w:hanging="360"/>
      </w:pPr>
    </w:lvl>
    <w:lvl w:ilvl="5" w:tplc="4C3AE456" w:tentative="1">
      <w:start w:val="1"/>
      <w:numFmt w:val="lowerRoman"/>
      <w:lvlText w:val="%6."/>
      <w:lvlJc w:val="right"/>
      <w:pPr>
        <w:ind w:left="4320" w:hanging="180"/>
      </w:pPr>
    </w:lvl>
    <w:lvl w:ilvl="6" w:tplc="7CD6C1A0" w:tentative="1">
      <w:start w:val="1"/>
      <w:numFmt w:val="decimal"/>
      <w:lvlText w:val="%7."/>
      <w:lvlJc w:val="left"/>
      <w:pPr>
        <w:ind w:left="5040" w:hanging="360"/>
      </w:pPr>
    </w:lvl>
    <w:lvl w:ilvl="7" w:tplc="CCBE1C4C" w:tentative="1">
      <w:start w:val="1"/>
      <w:numFmt w:val="lowerLetter"/>
      <w:lvlText w:val="%8."/>
      <w:lvlJc w:val="left"/>
      <w:pPr>
        <w:ind w:left="5760" w:hanging="360"/>
      </w:pPr>
    </w:lvl>
    <w:lvl w:ilvl="8" w:tplc="FCA83E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4"/>
  <w:defaultTabStop w:val="720"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64261D"/>
    <w:rsid w:val="00017C8B"/>
    <w:rsid w:val="00024C9E"/>
    <w:rsid w:val="000326F5"/>
    <w:rsid w:val="00037A2E"/>
    <w:rsid w:val="000A73CF"/>
    <w:rsid w:val="000F4C10"/>
    <w:rsid w:val="001006C3"/>
    <w:rsid w:val="00184186"/>
    <w:rsid w:val="001A1F34"/>
    <w:rsid w:val="001B0CBE"/>
    <w:rsid w:val="001B41F2"/>
    <w:rsid w:val="001C3198"/>
    <w:rsid w:val="00221CE1"/>
    <w:rsid w:val="00234B24"/>
    <w:rsid w:val="00284DC1"/>
    <w:rsid w:val="002D7CA1"/>
    <w:rsid w:val="0031223F"/>
    <w:rsid w:val="00365D22"/>
    <w:rsid w:val="003C5685"/>
    <w:rsid w:val="003E303C"/>
    <w:rsid w:val="00445D23"/>
    <w:rsid w:val="00487213"/>
    <w:rsid w:val="004A10BE"/>
    <w:rsid w:val="004A66C2"/>
    <w:rsid w:val="004A7C60"/>
    <w:rsid w:val="005341F3"/>
    <w:rsid w:val="005949BE"/>
    <w:rsid w:val="005C6122"/>
    <w:rsid w:val="005D4EAF"/>
    <w:rsid w:val="005E75EC"/>
    <w:rsid w:val="00600540"/>
    <w:rsid w:val="0064261D"/>
    <w:rsid w:val="0066337A"/>
    <w:rsid w:val="006737DB"/>
    <w:rsid w:val="006B4F2A"/>
    <w:rsid w:val="006D191F"/>
    <w:rsid w:val="00710B40"/>
    <w:rsid w:val="00732625"/>
    <w:rsid w:val="00732690"/>
    <w:rsid w:val="007974D0"/>
    <w:rsid w:val="007E369B"/>
    <w:rsid w:val="007F41FC"/>
    <w:rsid w:val="00804293"/>
    <w:rsid w:val="00816B12"/>
    <w:rsid w:val="00834A2E"/>
    <w:rsid w:val="008356F8"/>
    <w:rsid w:val="008573F1"/>
    <w:rsid w:val="00880AE7"/>
    <w:rsid w:val="0088193C"/>
    <w:rsid w:val="008840AE"/>
    <w:rsid w:val="0092794C"/>
    <w:rsid w:val="00943D39"/>
    <w:rsid w:val="00964903"/>
    <w:rsid w:val="009C4E80"/>
    <w:rsid w:val="009F663C"/>
    <w:rsid w:val="00A22A39"/>
    <w:rsid w:val="00A6464C"/>
    <w:rsid w:val="00A803B4"/>
    <w:rsid w:val="00AA7161"/>
    <w:rsid w:val="00AA7B59"/>
    <w:rsid w:val="00AE2CD3"/>
    <w:rsid w:val="00B3378A"/>
    <w:rsid w:val="00B45238"/>
    <w:rsid w:val="00B658DC"/>
    <w:rsid w:val="00B72F36"/>
    <w:rsid w:val="00B95758"/>
    <w:rsid w:val="00BA04C4"/>
    <w:rsid w:val="00BA129F"/>
    <w:rsid w:val="00BB2461"/>
    <w:rsid w:val="00BB355D"/>
    <w:rsid w:val="00BB7943"/>
    <w:rsid w:val="00BD25DE"/>
    <w:rsid w:val="00BF1AFA"/>
    <w:rsid w:val="00C12B37"/>
    <w:rsid w:val="00C21000"/>
    <w:rsid w:val="00C258AE"/>
    <w:rsid w:val="00C32D10"/>
    <w:rsid w:val="00C51D27"/>
    <w:rsid w:val="00C824F2"/>
    <w:rsid w:val="00C85591"/>
    <w:rsid w:val="00C90CE8"/>
    <w:rsid w:val="00C917E9"/>
    <w:rsid w:val="00C92CEB"/>
    <w:rsid w:val="00CC0CD8"/>
    <w:rsid w:val="00CE3B9E"/>
    <w:rsid w:val="00D014DC"/>
    <w:rsid w:val="00D34C04"/>
    <w:rsid w:val="00D8061E"/>
    <w:rsid w:val="00D82039"/>
    <w:rsid w:val="00D906CD"/>
    <w:rsid w:val="00D93A7B"/>
    <w:rsid w:val="00E60B09"/>
    <w:rsid w:val="00E60E9E"/>
    <w:rsid w:val="00E66AAD"/>
    <w:rsid w:val="00E81A31"/>
    <w:rsid w:val="00EB780A"/>
    <w:rsid w:val="00F02F1B"/>
    <w:rsid w:val="00F42D91"/>
    <w:rsid w:val="00FA438E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paragraph" w:styleId="Heading2">
    <w:name w:val="heading 2"/>
    <w:basedOn w:val="Normal"/>
    <w:link w:val="Heading2Char"/>
    <w:uiPriority w:val="9"/>
    <w:qFormat/>
    <w:rsid w:val="00C90CE8"/>
    <w:pPr>
      <w:spacing w:before="100" w:beforeAutospacing="1" w:after="100" w:afterAutospacing="1"/>
      <w:outlineLvl w:val="1"/>
    </w:pPr>
    <w:rPr>
      <w:rFonts w:ascii="MS PGothic" w:eastAsia="MS PGothic" w:hAnsi="MS PGothic"/>
      <w:b/>
      <w:bCs/>
      <w:sz w:val="36"/>
      <w:szCs w:val="3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styleId="NormalWeb">
    <w:name w:val="Normal (Web)"/>
    <w:basedOn w:val="Normal"/>
    <w:uiPriority w:val="99"/>
    <w:unhideWhenUsed/>
    <w:rsid w:val="00AE2C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90CE8"/>
  </w:style>
  <w:style w:type="character" w:customStyle="1" w:styleId="Heading2Char">
    <w:name w:val="Heading 2 Char"/>
    <w:basedOn w:val="DefaultParagraphFont"/>
    <w:link w:val="Heading2"/>
    <w:uiPriority w:val="9"/>
    <w:rsid w:val="00C90CE8"/>
    <w:rPr>
      <w:rFonts w:ascii="MS PGothic" w:eastAsia="MS PGothic" w:hAnsi="MS PGothic"/>
      <w:b/>
      <w:bCs/>
      <w:sz w:val="36"/>
      <w:szCs w:val="36"/>
      <w:lang w:eastAsia="ja-JP"/>
    </w:rPr>
  </w:style>
  <w:style w:type="paragraph" w:customStyle="1" w:styleId="authlist">
    <w:name w:val="auth_list"/>
    <w:basedOn w:val="Normal"/>
    <w:rsid w:val="00C90CE8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 w:bidi="en-US"/>
    </w:rPr>
  </w:style>
  <w:style w:type="character" w:customStyle="1" w:styleId="nbapihighlight">
    <w:name w:val="nbapihighlight"/>
    <w:basedOn w:val="DefaultParagraphFont"/>
    <w:rsid w:val="005C6122"/>
  </w:style>
  <w:style w:type="paragraph" w:styleId="ListParagraph">
    <w:name w:val="List Paragraph"/>
    <w:basedOn w:val="Normal"/>
    <w:uiPriority w:val="34"/>
    <w:qFormat/>
    <w:rsid w:val="005C6122"/>
    <w:pPr>
      <w:ind w:left="720"/>
      <w:contextualSpacing/>
    </w:pPr>
    <w:rPr>
      <w:sz w:val="24"/>
      <w:szCs w:val="22"/>
    </w:rPr>
  </w:style>
  <w:style w:type="table" w:styleId="TableGrid">
    <w:name w:val="Table Grid"/>
    <w:basedOn w:val="TableNormal"/>
    <w:uiPriority w:val="59"/>
    <w:rsid w:val="005C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82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paragraph" w:styleId="Heading2">
    <w:name w:val="heading 2"/>
    <w:basedOn w:val="Normal"/>
    <w:link w:val="Heading2Char"/>
    <w:uiPriority w:val="9"/>
    <w:qFormat/>
    <w:rsid w:val="00C90CE8"/>
    <w:pPr>
      <w:spacing w:before="100" w:beforeAutospacing="1" w:after="100" w:afterAutospacing="1"/>
      <w:outlineLvl w:val="1"/>
    </w:pPr>
    <w:rPr>
      <w:rFonts w:ascii="MS PGothic" w:eastAsia="MS PGothic" w:hAnsi="MS PGothic"/>
      <w:b/>
      <w:bCs/>
      <w:sz w:val="36"/>
      <w:szCs w:val="3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styleId="NormalWeb">
    <w:name w:val="Normal (Web)"/>
    <w:basedOn w:val="Normal"/>
    <w:uiPriority w:val="99"/>
    <w:unhideWhenUsed/>
    <w:rsid w:val="00AE2C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90CE8"/>
  </w:style>
  <w:style w:type="character" w:customStyle="1" w:styleId="Heading2Char">
    <w:name w:val="Heading 2 Char"/>
    <w:basedOn w:val="DefaultParagraphFont"/>
    <w:link w:val="Heading2"/>
    <w:uiPriority w:val="9"/>
    <w:rsid w:val="00C90CE8"/>
    <w:rPr>
      <w:rFonts w:ascii="MS PGothic" w:eastAsia="MS PGothic" w:hAnsi="MS PGothic"/>
      <w:b/>
      <w:bCs/>
      <w:sz w:val="36"/>
      <w:szCs w:val="36"/>
      <w:lang w:eastAsia="ja-JP"/>
    </w:rPr>
  </w:style>
  <w:style w:type="paragraph" w:customStyle="1" w:styleId="authlist">
    <w:name w:val="auth_list"/>
    <w:basedOn w:val="Normal"/>
    <w:rsid w:val="00C90CE8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 w:bidi="en-US"/>
    </w:rPr>
  </w:style>
  <w:style w:type="character" w:customStyle="1" w:styleId="nbapihighlight">
    <w:name w:val="nbapihighlight"/>
    <w:basedOn w:val="DefaultParagraphFont"/>
    <w:rsid w:val="005C6122"/>
  </w:style>
  <w:style w:type="paragraph" w:styleId="ListParagraph">
    <w:name w:val="List Paragraph"/>
    <w:basedOn w:val="Normal"/>
    <w:uiPriority w:val="34"/>
    <w:qFormat/>
    <w:rsid w:val="005C6122"/>
    <w:pPr>
      <w:ind w:left="720"/>
      <w:contextualSpacing/>
    </w:pPr>
    <w:rPr>
      <w:sz w:val="24"/>
      <w:szCs w:val="22"/>
    </w:rPr>
  </w:style>
  <w:style w:type="table" w:styleId="TableGrid">
    <w:name w:val="Table Grid"/>
    <w:basedOn w:val="TableNormal"/>
    <w:uiPriority w:val="59"/>
    <w:rsid w:val="005C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82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6DB6-392F-47C1-949F-6CC6F097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Stanford University</Company>
  <LinksUpToDate>false</LinksUpToDate>
  <CharactersWithSpaces>2189</CharactersWithSpaces>
  <SharedDoc>false</SharedDoc>
  <HLinks>
    <vt:vector size="12" baseType="variant"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http://stm.sciencemag.org/site/about/edpolicy.xhtml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http://www.submit2scitranslmed.org/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Silke Roedder</cp:lastModifiedBy>
  <cp:revision>3</cp:revision>
  <cp:lastPrinted>2012-08-09T19:03:00Z</cp:lastPrinted>
  <dcterms:created xsi:type="dcterms:W3CDTF">2013-01-20T19:55:00Z</dcterms:created>
  <dcterms:modified xsi:type="dcterms:W3CDTF">2013-01-20T19:55:00Z</dcterms:modified>
</cp:coreProperties>
</file>