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C4" w:rsidRDefault="0094331C" w:rsidP="008233C4">
      <w:pPr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 w:rsidR="008233C4" w:rsidRPr="008233C4">
        <w:rPr>
          <w:rFonts w:ascii="Arial" w:hAnsi="Arial" w:cs="Arial"/>
          <w:b/>
        </w:rPr>
        <w:t xml:space="preserve"> </w:t>
      </w:r>
    </w:p>
    <w:p w:rsidR="008233C4" w:rsidRPr="00710D57" w:rsidRDefault="008233C4" w:rsidP="008233C4">
      <w:pPr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S3</w:t>
      </w:r>
      <w:r w:rsidRPr="00710D57">
        <w:rPr>
          <w:rFonts w:ascii="Arial" w:hAnsi="Arial" w:cs="Arial"/>
          <w:b/>
        </w:rPr>
        <w:t>. Expression and functional annotation of p-Smad2/3 repressed genes</w:t>
      </w:r>
    </w:p>
    <w:tbl>
      <w:tblPr>
        <w:tblpPr w:leftFromText="180" w:rightFromText="180" w:vertAnchor="page" w:horzAnchor="margin" w:tblpXSpec="center" w:tblpY="118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6237"/>
        <w:gridCol w:w="3260"/>
        <w:gridCol w:w="2268"/>
      </w:tblGrid>
      <w:tr w:rsidR="00CC2C1A" w:rsidRPr="00710D57" w:rsidTr="00CC2C1A">
        <w:tc>
          <w:tcPr>
            <w:tcW w:w="2235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 symbol (synonyms)</w:t>
            </w:r>
          </w:p>
        </w:tc>
        <w:tc>
          <w:tcPr>
            <w:tcW w:w="2126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CC2C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Gene name</w:t>
            </w:r>
          </w:p>
        </w:tc>
        <w:tc>
          <w:tcPr>
            <w:tcW w:w="6237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CC2C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Ontology</w:t>
            </w:r>
          </w:p>
        </w:tc>
        <w:tc>
          <w:tcPr>
            <w:tcW w:w="3260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CC2C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Component</w:t>
            </w:r>
          </w:p>
        </w:tc>
        <w:tc>
          <w:tcPr>
            <w:tcW w:w="2268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CC2C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Expression</w:t>
            </w:r>
          </w:p>
        </w:tc>
      </w:tr>
      <w:tr w:rsidR="00CC2C1A" w:rsidRPr="00710D57" w:rsidTr="00CC2C1A">
        <w:tc>
          <w:tcPr>
            <w:tcW w:w="2235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Nceh1 (</w:t>
            </w:r>
            <w:r w:rsidR="00FB7759"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Aadacl1, CPO-BP, </w:t>
            </w: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B230106I24Rik, mKIAA1363</w:t>
            </w: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2126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Arylacetamide deacetylase-like 1</w:t>
            </w:r>
          </w:p>
        </w:tc>
        <w:tc>
          <w:tcPr>
            <w:tcW w:w="6237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Lipid catabolic process, metabolic processes, protein dephosphorylation, carboxylesterase</w:t>
            </w:r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activity</w:t>
            </w:r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hydrolase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activity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phosphate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ion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binding</w:t>
            </w:r>
            <w:proofErr w:type="spellEnd"/>
          </w:p>
        </w:tc>
        <w:tc>
          <w:tcPr>
            <w:tcW w:w="3260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Endoplasmic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reticulum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membrane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integral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to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membrane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intracellular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membrane-bounded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organelle</w:t>
            </w:r>
            <w:proofErr w:type="spellEnd"/>
          </w:p>
        </w:tc>
        <w:tc>
          <w:tcPr>
            <w:tcW w:w="2268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Embryonic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nervous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system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sensory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organs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, 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teeth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)</w:t>
            </w:r>
          </w:p>
        </w:tc>
      </w:tr>
      <w:tr w:rsidR="00CC2C1A" w:rsidRPr="00710D57" w:rsidTr="00CC2C1A">
        <w:tc>
          <w:tcPr>
            <w:tcW w:w="2235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Btbd11</w:t>
            </w: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(6330404E16Rik)</w:t>
            </w:r>
          </w:p>
        </w:tc>
        <w:tc>
          <w:tcPr>
            <w:tcW w:w="2126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BTB (POZ)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domain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containing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11</w:t>
            </w:r>
          </w:p>
        </w:tc>
        <w:tc>
          <w:tcPr>
            <w:tcW w:w="6237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Protein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heterodimerization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binding</w:t>
            </w:r>
            <w:proofErr w:type="spellEnd"/>
          </w:p>
        </w:tc>
        <w:tc>
          <w:tcPr>
            <w:tcW w:w="3260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Membrane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integral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to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membrane</w:t>
            </w:r>
            <w:proofErr w:type="spellEnd"/>
          </w:p>
        </w:tc>
        <w:tc>
          <w:tcPr>
            <w:tcW w:w="2268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Embryonic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nervous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system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, head,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thymus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primordium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, renal and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urinary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system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reproductive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system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)</w:t>
            </w:r>
          </w:p>
        </w:tc>
      </w:tr>
      <w:tr w:rsidR="00CC2C1A" w:rsidRPr="00710D57" w:rsidTr="00CC2C1A">
        <w:tc>
          <w:tcPr>
            <w:tcW w:w="2235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</w:pP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Gm10664</w:t>
            </w:r>
          </w:p>
        </w:tc>
        <w:tc>
          <w:tcPr>
            <w:tcW w:w="2126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Predicted gene 10664</w:t>
            </w:r>
          </w:p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237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3260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2268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Embryonic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early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embryo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extraembryonic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component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alimentary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system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nervous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system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, cardiovascular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system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liver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biliary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system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) Post-natal (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alimentary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system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liver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biliary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system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, renal and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urinary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system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)</w:t>
            </w:r>
          </w:p>
        </w:tc>
      </w:tr>
      <w:tr w:rsidR="00CC2C1A" w:rsidRPr="00710D57" w:rsidTr="00CC2C1A">
        <w:tc>
          <w:tcPr>
            <w:tcW w:w="2235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</w:pP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Meg3 (Gtl2, 2900016C05Rik, 3110050O07Rik, 6330408G06Rik, D12Bwg1266e)</w:t>
            </w:r>
          </w:p>
        </w:tc>
        <w:tc>
          <w:tcPr>
            <w:tcW w:w="2126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Maternally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expressed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3 </w:t>
            </w:r>
          </w:p>
        </w:tc>
        <w:tc>
          <w:tcPr>
            <w:tcW w:w="6237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Determination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adult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life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span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r w:rsidRPr="00CC2C1A">
              <w:rPr>
                <w:rFonts w:ascii="Arial" w:hAnsi="Arial" w:cs="Arial"/>
                <w:i/>
                <w:color w:val="000000"/>
                <w:sz w:val="22"/>
                <w:szCs w:val="22"/>
                <w:lang w:val="es-ES"/>
              </w:rPr>
              <w:t xml:space="preserve">in </w:t>
            </w:r>
            <w:proofErr w:type="spellStart"/>
            <w:r w:rsidRPr="00CC2C1A">
              <w:rPr>
                <w:rFonts w:ascii="Arial" w:hAnsi="Arial" w:cs="Arial"/>
                <w:i/>
                <w:color w:val="000000"/>
                <w:sz w:val="22"/>
                <w:szCs w:val="22"/>
                <w:lang w:val="es-ES"/>
              </w:rPr>
              <w:t>utero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embryonic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development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liver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development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lung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alveolus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development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multicellular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organism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growth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 post-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embryonic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development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DNA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methylation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genetic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imprinting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skeletal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muscle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tissue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development</w:t>
            </w:r>
            <w:proofErr w:type="spellEnd"/>
          </w:p>
        </w:tc>
        <w:tc>
          <w:tcPr>
            <w:tcW w:w="3260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2268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Widely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expressed</w:t>
            </w:r>
            <w:proofErr w:type="spellEnd"/>
          </w:p>
        </w:tc>
      </w:tr>
      <w:tr w:rsidR="00CC2C1A" w:rsidTr="00CC2C1A">
        <w:tc>
          <w:tcPr>
            <w:tcW w:w="2235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Hexa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  <w:lang w:val="es-ES"/>
              </w:rPr>
              <w:t>Hex-1)</w:t>
            </w:r>
          </w:p>
        </w:tc>
        <w:tc>
          <w:tcPr>
            <w:tcW w:w="2126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Hexosaminidase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</w:p>
        </w:tc>
        <w:tc>
          <w:tcPr>
            <w:tcW w:w="6237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Adult walking behavior, cell morphogenesis involved in neuron differentiation, lipid storage,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locomotory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behaviour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lysosome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organization, catabolic and metabolic processes,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myelination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, neuromuscular processes controlling balance and posture, sensory perception of sound, sexual </w:t>
            </w:r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reproduction, skeletal system development, beta-N-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acetylhexosaminidase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activity, catalytic activity,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cation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binding,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hydrolase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activity acting on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glycosyl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bonds and hydrolyzing O-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glycosol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compounds</w:t>
            </w:r>
          </w:p>
        </w:tc>
        <w:tc>
          <w:tcPr>
            <w:tcW w:w="3260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Lysosome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, membrane</w:t>
            </w:r>
          </w:p>
        </w:tc>
        <w:tc>
          <w:tcPr>
            <w:tcW w:w="2268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Embryonic (widely expressed)         Post-natal (nervous system)</w:t>
            </w:r>
          </w:p>
        </w:tc>
      </w:tr>
      <w:tr w:rsidR="00CC2C1A" w:rsidTr="00CC2C1A">
        <w:tc>
          <w:tcPr>
            <w:tcW w:w="2235" w:type="dxa"/>
            <w:vAlign w:val="center"/>
          </w:tcPr>
          <w:p w:rsidR="008233C4" w:rsidRPr="00CC2C1A" w:rsidRDefault="00FB7759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Lnpep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233C4"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(2010309L07Rik, 4732490P18Rik, gp160, IRAP, vp165)</w:t>
            </w:r>
          </w:p>
        </w:tc>
        <w:tc>
          <w:tcPr>
            <w:tcW w:w="2126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Leucyl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cystinyl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aminopeptidase</w:t>
            </w:r>
            <w:proofErr w:type="spellEnd"/>
          </w:p>
        </w:tc>
        <w:tc>
          <w:tcPr>
            <w:tcW w:w="6237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Protein catabolic process, proteolysis,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aminopeptidase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activity,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hydrolase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activity, metal ion binding,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metallopeptidase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activity, peptidase activity, zinc ion binding</w:t>
            </w:r>
          </w:p>
        </w:tc>
        <w:tc>
          <w:tcPr>
            <w:tcW w:w="3260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Membrane,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perinuclear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region of cytoplasm, plasma membrane, integral to membrane</w:t>
            </w:r>
          </w:p>
        </w:tc>
        <w:tc>
          <w:tcPr>
            <w:tcW w:w="2268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Embryonic (head, skin)                  Post-natal (</w:t>
            </w:r>
            <w:proofErr w:type="spellStart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caecum</w:t>
            </w:r>
            <w:proofErr w:type="spellEnd"/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kidney, skin, intestine, spleen, testis, thymus, vagina) </w:t>
            </w:r>
          </w:p>
        </w:tc>
      </w:tr>
      <w:tr w:rsidR="00CC2C1A" w:rsidTr="00CC2C1A">
        <w:tc>
          <w:tcPr>
            <w:tcW w:w="2235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Phf15 (Jade2, mKIAA0239, 1200017K05Rik)</w:t>
            </w:r>
          </w:p>
        </w:tc>
        <w:tc>
          <w:tcPr>
            <w:tcW w:w="2126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PHD finger protein 15</w:t>
            </w:r>
          </w:p>
        </w:tc>
        <w:tc>
          <w:tcPr>
            <w:tcW w:w="6237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Histone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acetylation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, metal ion binding</w:t>
            </w:r>
          </w:p>
        </w:tc>
        <w:tc>
          <w:tcPr>
            <w:tcW w:w="3260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Histone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acetyltransferase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complex</w:t>
            </w:r>
          </w:p>
        </w:tc>
        <w:tc>
          <w:tcPr>
            <w:tcW w:w="2268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Embryonic (widely expressed)        Post-natal (nervous system, sensory organs, head)</w:t>
            </w:r>
          </w:p>
        </w:tc>
      </w:tr>
      <w:tr w:rsidR="00CC2C1A" w:rsidTr="00CC2C1A">
        <w:tc>
          <w:tcPr>
            <w:tcW w:w="2235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Rbm14 (1300007E16Rik, p16, PSP2)</w:t>
            </w:r>
          </w:p>
        </w:tc>
        <w:tc>
          <w:tcPr>
            <w:tcW w:w="2126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RNA binding motif protein 14</w:t>
            </w:r>
          </w:p>
        </w:tc>
        <w:tc>
          <w:tcPr>
            <w:tcW w:w="6237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260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Embryonic (limbs, nervous system, sensory organs)</w:t>
            </w:r>
          </w:p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Post-natal (nervous sy</w:t>
            </w:r>
            <w:r w:rsidR="00FB7759"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tem, sensory organs)</w:t>
            </w:r>
          </w:p>
        </w:tc>
      </w:tr>
      <w:tr w:rsidR="00CC2C1A" w:rsidTr="00CC2C1A">
        <w:tc>
          <w:tcPr>
            <w:tcW w:w="2235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Stoml1 (1810015E19Rik, SLP-1, UNC-24, WPB72)</w:t>
            </w:r>
          </w:p>
        </w:tc>
        <w:tc>
          <w:tcPr>
            <w:tcW w:w="2126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Stomatin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-like 1</w:t>
            </w:r>
          </w:p>
        </w:tc>
        <w:tc>
          <w:tcPr>
            <w:tcW w:w="6237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Sterol binding</w:t>
            </w:r>
          </w:p>
        </w:tc>
        <w:tc>
          <w:tcPr>
            <w:tcW w:w="3260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Integral to membrane, membrane</w:t>
            </w:r>
          </w:p>
        </w:tc>
        <w:tc>
          <w:tcPr>
            <w:tcW w:w="2268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Widely expressed</w:t>
            </w:r>
          </w:p>
        </w:tc>
      </w:tr>
      <w:tr w:rsidR="00CC2C1A" w:rsidTr="00CC2C1A">
        <w:tc>
          <w:tcPr>
            <w:tcW w:w="2235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Sub1 (P15, Pc4, Rpo2tc1)</w:t>
            </w:r>
          </w:p>
        </w:tc>
        <w:tc>
          <w:tcPr>
            <w:tcW w:w="2126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SUB1 homolog (S.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cerevisiae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37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Regulation of transcription from RNA polymerase II promoter, DNA-dependent regulation of transcription, DNA binding, transcription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coactivator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activity, single-stranded DNA binding</w:t>
            </w:r>
          </w:p>
        </w:tc>
        <w:tc>
          <w:tcPr>
            <w:tcW w:w="3260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Nucleolus, nucleus, transcription factor complex</w:t>
            </w:r>
          </w:p>
        </w:tc>
        <w:tc>
          <w:tcPr>
            <w:tcW w:w="2268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Embryonic (widely expressed)        Post-natal (nervous system, sensory organs)</w:t>
            </w:r>
          </w:p>
        </w:tc>
      </w:tr>
      <w:tr w:rsidR="00CC2C1A" w:rsidTr="00CC2C1A">
        <w:tc>
          <w:tcPr>
            <w:tcW w:w="2235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Vim </w:t>
            </w:r>
          </w:p>
        </w:tc>
        <w:tc>
          <w:tcPr>
            <w:tcW w:w="2126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Vimentin</w:t>
            </w:r>
            <w:proofErr w:type="spellEnd"/>
          </w:p>
        </w:tc>
        <w:tc>
          <w:tcPr>
            <w:tcW w:w="6237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Astrocyte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development, Bergmann </w:t>
            </w:r>
            <w:proofErr w:type="spellStart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glial</w:t>
            </w:r>
            <w:proofErr w:type="spellEnd"/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 xml:space="preserve"> cell differentiation, intermediate filament-based process, lens fiber cell development, negative regulation of neuron projection development, protein binding, structural constituent of eye lens, structural molecule activity</w:t>
            </w:r>
          </w:p>
        </w:tc>
        <w:tc>
          <w:tcPr>
            <w:tcW w:w="3260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color w:val="000000"/>
                <w:sz w:val="22"/>
                <w:szCs w:val="22"/>
              </w:rPr>
              <w:t>Cell leading edge, cell projection, cytoplasm, cytoskeleton, intermediate filament</w:t>
            </w:r>
          </w:p>
        </w:tc>
        <w:tc>
          <w:tcPr>
            <w:tcW w:w="2268" w:type="dxa"/>
            <w:vAlign w:val="center"/>
          </w:tcPr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2C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Widely expressed</w:t>
            </w:r>
          </w:p>
          <w:p w:rsidR="008233C4" w:rsidRPr="00CC2C1A" w:rsidRDefault="008233C4" w:rsidP="00CC2C1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8233C4" w:rsidTr="00CC2C1A">
        <w:tc>
          <w:tcPr>
            <w:tcW w:w="16126" w:type="dxa"/>
            <w:gridSpan w:val="5"/>
          </w:tcPr>
          <w:p w:rsidR="008233C4" w:rsidRPr="00CC2C1A" w:rsidRDefault="008233C4" w:rsidP="00CC2C1A">
            <w:pPr>
              <w:ind w:left="-993"/>
              <w:rPr>
                <w:rFonts w:ascii="Arial" w:hAnsi="Arial" w:cs="Arial"/>
              </w:rPr>
            </w:pPr>
            <w:r w:rsidRPr="00CC2C1A">
              <w:rPr>
                <w:rFonts w:ascii="Arial" w:hAnsi="Arial" w:cs="Arial"/>
              </w:rPr>
              <w:t xml:space="preserve">               -There is no information available in the databases</w:t>
            </w:r>
          </w:p>
        </w:tc>
      </w:tr>
    </w:tbl>
    <w:p w:rsidR="00300B7C" w:rsidRDefault="00300B7C">
      <w:pPr>
        <w:rPr>
          <w:rFonts w:ascii="Arial" w:hAnsi="Arial" w:cs="Arial"/>
          <w:b/>
        </w:rPr>
      </w:pPr>
    </w:p>
    <w:p w:rsidR="00300B7C" w:rsidRDefault="00300B7C">
      <w:pPr>
        <w:rPr>
          <w:rFonts w:ascii="Arial" w:hAnsi="Arial" w:cs="Arial"/>
          <w:b/>
        </w:rPr>
      </w:pPr>
    </w:p>
    <w:p w:rsidR="0033093F" w:rsidRDefault="0033093F" w:rsidP="0094331C">
      <w:pPr>
        <w:ind w:left="-993"/>
        <w:rPr>
          <w:rFonts w:ascii="Arial" w:hAnsi="Arial" w:cs="Arial"/>
        </w:rPr>
      </w:pPr>
    </w:p>
    <w:p w:rsidR="00F60B51" w:rsidRDefault="00D13E42" w:rsidP="00CF7E95">
      <w:pPr>
        <w:ind w:left="-709"/>
        <w:jc w:val="both"/>
        <w:rPr>
          <w:rFonts w:ascii="Arial" w:hAnsi="Arial" w:cs="Arial"/>
          <w:lang w:eastAsia="en-GB"/>
        </w:rPr>
      </w:pPr>
      <w:r>
        <w:br w:type="page"/>
      </w:r>
    </w:p>
    <w:p w:rsidR="00F60B51" w:rsidRDefault="00F60B51" w:rsidP="00F60B51">
      <w:pPr>
        <w:ind w:left="-1134"/>
        <w:jc w:val="both"/>
        <w:rPr>
          <w:rFonts w:ascii="Arial" w:hAnsi="Arial" w:cs="Arial"/>
          <w:lang w:eastAsia="en-GB"/>
        </w:rPr>
      </w:pPr>
    </w:p>
    <w:p w:rsidR="00F60B51" w:rsidRDefault="00F60B51" w:rsidP="00F60B51">
      <w:pPr>
        <w:ind w:left="-1134"/>
        <w:jc w:val="both"/>
        <w:rPr>
          <w:rFonts w:ascii="Arial" w:hAnsi="Arial" w:cs="Arial"/>
          <w:lang w:eastAsia="en-GB"/>
        </w:rPr>
      </w:pPr>
    </w:p>
    <w:p w:rsidR="00F60B51" w:rsidRDefault="00F60B51" w:rsidP="00F60B51">
      <w:pPr>
        <w:ind w:left="-1134"/>
        <w:jc w:val="both"/>
        <w:rPr>
          <w:rFonts w:ascii="Arial" w:hAnsi="Arial" w:cs="Arial"/>
          <w:lang w:eastAsia="en-GB"/>
        </w:rPr>
      </w:pPr>
    </w:p>
    <w:p w:rsidR="00F60B51" w:rsidRDefault="00F60B51" w:rsidP="00F60B51">
      <w:pPr>
        <w:ind w:left="-1134"/>
        <w:jc w:val="both"/>
        <w:rPr>
          <w:rFonts w:ascii="Arial" w:hAnsi="Arial" w:cs="Arial"/>
          <w:lang w:eastAsia="en-GB"/>
        </w:rPr>
      </w:pPr>
    </w:p>
    <w:p w:rsidR="00F60B51" w:rsidRDefault="00F60B51" w:rsidP="00F60B51">
      <w:pPr>
        <w:ind w:left="-1134"/>
        <w:jc w:val="both"/>
        <w:rPr>
          <w:rFonts w:ascii="Arial" w:hAnsi="Arial" w:cs="Arial"/>
          <w:lang w:eastAsia="en-GB"/>
        </w:rPr>
      </w:pPr>
    </w:p>
    <w:p w:rsidR="00F60B51" w:rsidRDefault="00F60B51" w:rsidP="00F60B51">
      <w:pPr>
        <w:ind w:left="-1134"/>
        <w:jc w:val="both"/>
        <w:rPr>
          <w:rFonts w:ascii="Arial" w:hAnsi="Arial" w:cs="Arial"/>
          <w:lang w:eastAsia="en-GB"/>
        </w:rPr>
      </w:pPr>
    </w:p>
    <w:p w:rsidR="00F60B51" w:rsidRDefault="00F60B51" w:rsidP="00F60B51">
      <w:pPr>
        <w:ind w:left="-1134"/>
        <w:jc w:val="both"/>
        <w:rPr>
          <w:rFonts w:ascii="Arial" w:hAnsi="Arial" w:cs="Arial"/>
          <w:lang w:eastAsia="en-GB"/>
        </w:rPr>
      </w:pPr>
    </w:p>
    <w:p w:rsidR="00F60B51" w:rsidRDefault="00F60B51" w:rsidP="00F60B51">
      <w:pPr>
        <w:ind w:left="-1134"/>
        <w:jc w:val="both"/>
        <w:rPr>
          <w:rFonts w:ascii="Arial" w:hAnsi="Arial" w:cs="Arial"/>
          <w:lang w:eastAsia="en-GB"/>
        </w:rPr>
      </w:pPr>
    </w:p>
    <w:p w:rsidR="00F60B51" w:rsidRDefault="00F60B51" w:rsidP="00F60B51">
      <w:pPr>
        <w:ind w:left="-1134"/>
        <w:jc w:val="both"/>
        <w:rPr>
          <w:rFonts w:ascii="Arial" w:hAnsi="Arial" w:cs="Arial"/>
          <w:lang w:eastAsia="en-GB"/>
        </w:rPr>
      </w:pPr>
    </w:p>
    <w:p w:rsidR="00F60B51" w:rsidRDefault="00F60B51" w:rsidP="00F60B51">
      <w:pPr>
        <w:ind w:left="-1134"/>
        <w:jc w:val="both"/>
        <w:rPr>
          <w:rFonts w:ascii="Arial" w:hAnsi="Arial" w:cs="Arial"/>
          <w:lang w:eastAsia="en-GB"/>
        </w:rPr>
      </w:pPr>
    </w:p>
    <w:p w:rsidR="00F60B51" w:rsidRDefault="00F60B51" w:rsidP="00F60B51">
      <w:pPr>
        <w:ind w:left="-1134"/>
        <w:jc w:val="both"/>
        <w:rPr>
          <w:rFonts w:ascii="Arial" w:hAnsi="Arial" w:cs="Arial"/>
          <w:lang w:eastAsia="en-GB"/>
        </w:rPr>
      </w:pPr>
    </w:p>
    <w:p w:rsidR="00F60B51" w:rsidRDefault="00F60B51" w:rsidP="00F60B51">
      <w:pPr>
        <w:ind w:right="-1039"/>
        <w:rPr>
          <w:rFonts w:ascii="Arial" w:hAnsi="Arial" w:cs="Arial"/>
          <w:lang w:eastAsia="en-GB"/>
        </w:rPr>
      </w:pPr>
    </w:p>
    <w:p w:rsidR="00F91793" w:rsidRDefault="00F91793" w:rsidP="00F60B51">
      <w:pPr>
        <w:ind w:left="-1134"/>
        <w:jc w:val="both"/>
        <w:rPr>
          <w:rFonts w:ascii="Arial" w:hAnsi="Arial" w:cs="Arial"/>
          <w:b/>
          <w:lang w:eastAsia="en-GB"/>
        </w:rPr>
      </w:pPr>
    </w:p>
    <w:p w:rsidR="00F60B51" w:rsidRDefault="00F60B51" w:rsidP="00F60B51">
      <w:pPr>
        <w:ind w:left="-1134" w:right="-1039"/>
        <w:rPr>
          <w:rFonts w:ascii="Arial" w:hAnsi="Arial" w:cs="Arial"/>
          <w:b/>
          <w:lang w:eastAsia="en-GB"/>
        </w:rPr>
      </w:pPr>
    </w:p>
    <w:p w:rsidR="00F60B51" w:rsidRDefault="00F60B51" w:rsidP="00F60B51">
      <w:pPr>
        <w:ind w:left="-1134" w:right="-1039"/>
        <w:rPr>
          <w:rFonts w:ascii="Arial" w:hAnsi="Arial" w:cs="Arial"/>
          <w:b/>
          <w:lang w:eastAsia="en-GB"/>
        </w:rPr>
      </w:pPr>
    </w:p>
    <w:p w:rsidR="00F60B51" w:rsidRDefault="00F60B51" w:rsidP="00F60B51">
      <w:pPr>
        <w:ind w:left="-1134" w:right="-1039"/>
        <w:rPr>
          <w:rFonts w:ascii="Arial" w:hAnsi="Arial" w:cs="Arial"/>
          <w:b/>
          <w:lang w:eastAsia="en-GB"/>
        </w:rPr>
      </w:pPr>
    </w:p>
    <w:p w:rsidR="00F60B51" w:rsidRPr="009151B4" w:rsidRDefault="00F60B51" w:rsidP="00F60B51">
      <w:pPr>
        <w:ind w:left="-1134" w:right="-1039"/>
        <w:rPr>
          <w:rFonts w:ascii="Arial" w:hAnsi="Arial" w:cs="Arial"/>
          <w:b/>
          <w:lang w:eastAsia="en-GB"/>
        </w:rPr>
      </w:pPr>
    </w:p>
    <w:p w:rsidR="00F60B51" w:rsidRDefault="00F60B51" w:rsidP="00F60B51"/>
    <w:p w:rsidR="00D13E42" w:rsidRDefault="00D13E42"/>
    <w:p w:rsidR="00D13E42" w:rsidRDefault="00D13E42" w:rsidP="00EE146A"/>
    <w:sectPr w:rsidR="00D13E42" w:rsidSect="002B42AF">
      <w:pgSz w:w="16838" w:h="11899" w:orient="landscape"/>
      <w:pgMar w:top="568" w:right="1440" w:bottom="180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B24"/>
    <w:rsid w:val="0001743E"/>
    <w:rsid w:val="000265C3"/>
    <w:rsid w:val="0008678F"/>
    <w:rsid w:val="000944D9"/>
    <w:rsid w:val="00096BEE"/>
    <w:rsid w:val="000C54C7"/>
    <w:rsid w:val="000D1ED1"/>
    <w:rsid w:val="000F5146"/>
    <w:rsid w:val="001004BE"/>
    <w:rsid w:val="00132B30"/>
    <w:rsid w:val="00175795"/>
    <w:rsid w:val="00177B5E"/>
    <w:rsid w:val="00220A53"/>
    <w:rsid w:val="00235FF8"/>
    <w:rsid w:val="00237ECB"/>
    <w:rsid w:val="00250F27"/>
    <w:rsid w:val="002702B1"/>
    <w:rsid w:val="00291057"/>
    <w:rsid w:val="002B42AF"/>
    <w:rsid w:val="002D591F"/>
    <w:rsid w:val="002E1F8D"/>
    <w:rsid w:val="00300B7C"/>
    <w:rsid w:val="0033093F"/>
    <w:rsid w:val="003702D8"/>
    <w:rsid w:val="003908E7"/>
    <w:rsid w:val="003B08EC"/>
    <w:rsid w:val="003C53AC"/>
    <w:rsid w:val="003E7C16"/>
    <w:rsid w:val="004005BB"/>
    <w:rsid w:val="00402FE0"/>
    <w:rsid w:val="0042771A"/>
    <w:rsid w:val="004442E4"/>
    <w:rsid w:val="00450B24"/>
    <w:rsid w:val="00450C84"/>
    <w:rsid w:val="00465030"/>
    <w:rsid w:val="00465A62"/>
    <w:rsid w:val="00481F4F"/>
    <w:rsid w:val="004A222F"/>
    <w:rsid w:val="004B3159"/>
    <w:rsid w:val="004E2EEA"/>
    <w:rsid w:val="00507D05"/>
    <w:rsid w:val="00524518"/>
    <w:rsid w:val="00557068"/>
    <w:rsid w:val="005871A8"/>
    <w:rsid w:val="005F3CB7"/>
    <w:rsid w:val="006429E1"/>
    <w:rsid w:val="006636DB"/>
    <w:rsid w:val="006824F8"/>
    <w:rsid w:val="006C52CF"/>
    <w:rsid w:val="006E1C80"/>
    <w:rsid w:val="00710D57"/>
    <w:rsid w:val="00726AF9"/>
    <w:rsid w:val="007707AE"/>
    <w:rsid w:val="00784150"/>
    <w:rsid w:val="00795B90"/>
    <w:rsid w:val="00797284"/>
    <w:rsid w:val="007F1162"/>
    <w:rsid w:val="007F49CA"/>
    <w:rsid w:val="007F5922"/>
    <w:rsid w:val="00815EB3"/>
    <w:rsid w:val="008233C4"/>
    <w:rsid w:val="00832E19"/>
    <w:rsid w:val="008A0827"/>
    <w:rsid w:val="008F27A4"/>
    <w:rsid w:val="0093165A"/>
    <w:rsid w:val="0094331C"/>
    <w:rsid w:val="009941D6"/>
    <w:rsid w:val="00A04E6D"/>
    <w:rsid w:val="00A228CD"/>
    <w:rsid w:val="00A27320"/>
    <w:rsid w:val="00A46B21"/>
    <w:rsid w:val="00A529D2"/>
    <w:rsid w:val="00A66323"/>
    <w:rsid w:val="00AB050F"/>
    <w:rsid w:val="00AE312D"/>
    <w:rsid w:val="00AE67D2"/>
    <w:rsid w:val="00AF04B5"/>
    <w:rsid w:val="00AF280E"/>
    <w:rsid w:val="00B24E68"/>
    <w:rsid w:val="00BA4B52"/>
    <w:rsid w:val="00BA4D9B"/>
    <w:rsid w:val="00BA6653"/>
    <w:rsid w:val="00BE4493"/>
    <w:rsid w:val="00BF343B"/>
    <w:rsid w:val="00C306AF"/>
    <w:rsid w:val="00C61FC9"/>
    <w:rsid w:val="00C70B6E"/>
    <w:rsid w:val="00CB6AF7"/>
    <w:rsid w:val="00CC2C1A"/>
    <w:rsid w:val="00CF7E95"/>
    <w:rsid w:val="00D13E42"/>
    <w:rsid w:val="00D25C91"/>
    <w:rsid w:val="00D32CAA"/>
    <w:rsid w:val="00D371C5"/>
    <w:rsid w:val="00D669DB"/>
    <w:rsid w:val="00DF6F94"/>
    <w:rsid w:val="00E047B2"/>
    <w:rsid w:val="00E26F98"/>
    <w:rsid w:val="00E56627"/>
    <w:rsid w:val="00E95C68"/>
    <w:rsid w:val="00E97BBF"/>
    <w:rsid w:val="00EC3692"/>
    <w:rsid w:val="00EC4302"/>
    <w:rsid w:val="00EE146A"/>
    <w:rsid w:val="00EE5510"/>
    <w:rsid w:val="00F26F45"/>
    <w:rsid w:val="00F467F7"/>
    <w:rsid w:val="00F5492B"/>
    <w:rsid w:val="00F60B51"/>
    <w:rsid w:val="00F91793"/>
    <w:rsid w:val="00FB14A3"/>
    <w:rsid w:val="00FB7759"/>
    <w:rsid w:val="00FD1C57"/>
    <w:rsid w:val="00FE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7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710D5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682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D1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5394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5393">
              <w:marLeft w:val="0"/>
              <w:marRight w:val="0"/>
              <w:marTop w:val="120"/>
              <w:marBottom w:val="120"/>
              <w:divBdr>
                <w:top w:val="single" w:sz="4" w:space="0" w:color="3875D7"/>
                <w:left w:val="single" w:sz="4" w:space="6" w:color="3875D7"/>
                <w:bottom w:val="single" w:sz="4" w:space="0" w:color="3875D7"/>
                <w:right w:val="single" w:sz="4" w:space="6" w:color="3875D7"/>
              </w:divBdr>
            </w:div>
          </w:divsChild>
        </w:div>
      </w:divsChild>
    </w:div>
    <w:div w:id="2355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Term for genes downregulated by P-Smad2/3 induction</vt:lpstr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Term for genes downregulated by P-Smad2/3 induction</dc:title>
  <dc:subject/>
  <dc:creator>mrc</dc:creator>
  <cp:keywords/>
  <dc:description/>
  <cp:lastModifiedBy>nredshaw</cp:lastModifiedBy>
  <cp:revision>48</cp:revision>
  <dcterms:created xsi:type="dcterms:W3CDTF">2012-09-26T19:50:00Z</dcterms:created>
  <dcterms:modified xsi:type="dcterms:W3CDTF">2013-01-05T10:33:00Z</dcterms:modified>
</cp:coreProperties>
</file>