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24910" w14:textId="77777777" w:rsidR="009C57F3" w:rsidRPr="003C1C4F" w:rsidRDefault="009C57F3" w:rsidP="009C57F3">
      <w:pPr>
        <w:spacing w:line="480" w:lineRule="auto"/>
        <w:ind w:left="-142" w:firstLine="142"/>
      </w:pPr>
      <w:r>
        <w:rPr>
          <w:b/>
        </w:rPr>
        <w:t>Supplementary Table S2</w:t>
      </w:r>
    </w:p>
    <w:p w14:paraId="3829A136" w14:textId="77777777" w:rsidR="009C57F3" w:rsidRDefault="009C57F3" w:rsidP="009C57F3">
      <w:pPr>
        <w:spacing w:line="480" w:lineRule="auto"/>
        <w:ind w:left="-851"/>
        <w:rPr>
          <w:sz w:val="16"/>
          <w:szCs w:val="16"/>
          <w:lang w:val="en-IN"/>
        </w:rPr>
      </w:pPr>
      <w:r>
        <w:rPr>
          <w:sz w:val="16"/>
          <w:szCs w:val="16"/>
          <w:lang w:val="en-IN"/>
        </w:rPr>
        <w:t xml:space="preserve"> </w:t>
      </w:r>
    </w:p>
    <w:tbl>
      <w:tblPr>
        <w:tblpPr w:leftFromText="180" w:rightFromText="180" w:vertAnchor="page" w:horzAnchor="margin" w:tblpY="2951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70"/>
        <w:gridCol w:w="1888"/>
        <w:gridCol w:w="2157"/>
        <w:gridCol w:w="1895"/>
      </w:tblGrid>
      <w:tr w:rsidR="009C57F3" w14:paraId="3E3B1C25" w14:textId="77777777" w:rsidTr="002154AD">
        <w:trPr>
          <w:trHeight w:val="615"/>
        </w:trPr>
        <w:tc>
          <w:tcPr>
            <w:tcW w:w="1668" w:type="dxa"/>
          </w:tcPr>
          <w:p w14:paraId="301A6983" w14:textId="77777777" w:rsidR="009C57F3" w:rsidRDefault="009C57F3" w:rsidP="002154AD">
            <w:pPr>
              <w:spacing w:line="480" w:lineRule="auto"/>
              <w:ind w:left="-142" w:firstLine="142"/>
              <w:jc w:val="center"/>
            </w:pPr>
            <w:r>
              <w:t>Parameters</w:t>
            </w:r>
          </w:p>
        </w:tc>
        <w:tc>
          <w:tcPr>
            <w:tcW w:w="1670" w:type="dxa"/>
          </w:tcPr>
          <w:p w14:paraId="004E98B7" w14:textId="77777777" w:rsidR="009C57F3" w:rsidRDefault="009C57F3" w:rsidP="002154AD">
            <w:pPr>
              <w:spacing w:line="480" w:lineRule="auto"/>
              <w:jc w:val="center"/>
            </w:pPr>
            <w:r>
              <w:t>Auto-recovery</w:t>
            </w:r>
          </w:p>
        </w:tc>
        <w:tc>
          <w:tcPr>
            <w:tcW w:w="1888" w:type="dxa"/>
          </w:tcPr>
          <w:p w14:paraId="62455AF4" w14:textId="77777777" w:rsidR="009C57F3" w:rsidRDefault="009C57F3" w:rsidP="002154AD">
            <w:pPr>
              <w:spacing w:line="480" w:lineRule="auto"/>
              <w:jc w:val="center"/>
            </w:pPr>
            <w:r w:rsidRPr="009E0775">
              <w:rPr>
                <w:i/>
              </w:rPr>
              <w:t>M.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 w:rsidRPr="009E0775">
              <w:rPr>
                <w:i/>
              </w:rPr>
              <w:t>pruriens</w:t>
            </w:r>
            <w:proofErr w:type="spellEnd"/>
            <w:proofErr w:type="gramEnd"/>
          </w:p>
          <w:p w14:paraId="19BF1E82" w14:textId="77777777" w:rsidR="009C57F3" w:rsidRDefault="009C57F3" w:rsidP="002154AD">
            <w:pPr>
              <w:spacing w:line="480" w:lineRule="auto"/>
              <w:jc w:val="center"/>
            </w:pPr>
            <w:r>
              <w:t>(200 mg/kg/day)</w:t>
            </w:r>
          </w:p>
        </w:tc>
        <w:tc>
          <w:tcPr>
            <w:tcW w:w="2157" w:type="dxa"/>
          </w:tcPr>
          <w:p w14:paraId="54021740" w14:textId="77777777" w:rsidR="009C57F3" w:rsidRDefault="009C57F3" w:rsidP="002154AD">
            <w:pPr>
              <w:spacing w:line="480" w:lineRule="auto"/>
              <w:jc w:val="center"/>
            </w:pPr>
            <w:r w:rsidRPr="009E0775">
              <w:rPr>
                <w:i/>
              </w:rPr>
              <w:t>M.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 w:rsidRPr="009E0775">
              <w:rPr>
                <w:i/>
              </w:rPr>
              <w:t>pruriens</w:t>
            </w:r>
            <w:proofErr w:type="spellEnd"/>
            <w:proofErr w:type="gramEnd"/>
          </w:p>
          <w:p w14:paraId="6F42CAAA" w14:textId="77777777" w:rsidR="009C57F3" w:rsidRDefault="009C57F3" w:rsidP="002154AD">
            <w:pPr>
              <w:spacing w:line="480" w:lineRule="auto"/>
              <w:jc w:val="center"/>
            </w:pPr>
            <w:r>
              <w:t>(300 mg/kg/day)</w:t>
            </w:r>
          </w:p>
        </w:tc>
        <w:tc>
          <w:tcPr>
            <w:tcW w:w="1895" w:type="dxa"/>
          </w:tcPr>
          <w:p w14:paraId="7065C27B" w14:textId="77777777" w:rsidR="009C57F3" w:rsidRDefault="009C57F3" w:rsidP="002154AD">
            <w:pPr>
              <w:spacing w:line="480" w:lineRule="auto"/>
              <w:jc w:val="center"/>
            </w:pPr>
            <w:r w:rsidRPr="009E0775">
              <w:rPr>
                <w:i/>
              </w:rPr>
              <w:t>M.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 w:rsidRPr="009E0775">
              <w:rPr>
                <w:i/>
              </w:rPr>
              <w:t>pruriens</w:t>
            </w:r>
            <w:proofErr w:type="spellEnd"/>
            <w:proofErr w:type="gramEnd"/>
          </w:p>
          <w:p w14:paraId="0AE2EA17" w14:textId="77777777" w:rsidR="009C57F3" w:rsidRDefault="009C57F3" w:rsidP="002154AD">
            <w:pPr>
              <w:spacing w:line="480" w:lineRule="auto"/>
              <w:jc w:val="center"/>
            </w:pPr>
            <w:r>
              <w:t>(400 mg/kg/day)</w:t>
            </w:r>
          </w:p>
        </w:tc>
      </w:tr>
      <w:tr w:rsidR="009C57F3" w14:paraId="40473427" w14:textId="77777777" w:rsidTr="002154AD">
        <w:trPr>
          <w:trHeight w:val="307"/>
        </w:trPr>
        <w:tc>
          <w:tcPr>
            <w:tcW w:w="1668" w:type="dxa"/>
          </w:tcPr>
          <w:p w14:paraId="7CB37C39" w14:textId="77777777" w:rsidR="009C57F3" w:rsidRDefault="009C57F3" w:rsidP="002154AD">
            <w:pPr>
              <w:spacing w:line="480" w:lineRule="auto"/>
              <w:jc w:val="center"/>
            </w:pPr>
            <w:r>
              <w:t>Sperm count</w:t>
            </w:r>
          </w:p>
        </w:tc>
        <w:tc>
          <w:tcPr>
            <w:tcW w:w="1670" w:type="dxa"/>
          </w:tcPr>
          <w:p w14:paraId="0CB18D2C" w14:textId="77777777" w:rsidR="009C57F3" w:rsidRDefault="009C57F3" w:rsidP="002154AD">
            <w:pPr>
              <w:spacing w:line="480" w:lineRule="auto"/>
              <w:jc w:val="center"/>
            </w:pPr>
            <w:r>
              <w:t>171.83</w:t>
            </w:r>
            <w:r w:rsidRPr="009E0775">
              <w:rPr>
                <w:sz w:val="20"/>
                <w:szCs w:val="20"/>
              </w:rPr>
              <w:t>±6.91</w:t>
            </w:r>
          </w:p>
        </w:tc>
        <w:tc>
          <w:tcPr>
            <w:tcW w:w="1888" w:type="dxa"/>
          </w:tcPr>
          <w:p w14:paraId="12818B35" w14:textId="77777777" w:rsidR="009C57F3" w:rsidRDefault="009C57F3" w:rsidP="002154AD">
            <w:pPr>
              <w:spacing w:line="480" w:lineRule="auto"/>
              <w:jc w:val="center"/>
            </w:pPr>
            <w:r>
              <w:t>194.5</w:t>
            </w:r>
            <w:r w:rsidRPr="009E0775">
              <w:rPr>
                <w:sz w:val="20"/>
                <w:szCs w:val="20"/>
              </w:rPr>
              <w:t>±6.41***</w:t>
            </w:r>
          </w:p>
        </w:tc>
        <w:tc>
          <w:tcPr>
            <w:tcW w:w="2157" w:type="dxa"/>
          </w:tcPr>
          <w:p w14:paraId="0EC628E7" w14:textId="77777777" w:rsidR="009C57F3" w:rsidRDefault="009C57F3" w:rsidP="002154AD">
            <w:pPr>
              <w:spacing w:line="480" w:lineRule="auto"/>
              <w:jc w:val="center"/>
            </w:pPr>
            <w:r>
              <w:t>216.6</w:t>
            </w:r>
            <w:r w:rsidRPr="009E0775">
              <w:rPr>
                <w:sz w:val="20"/>
                <w:szCs w:val="20"/>
              </w:rPr>
              <w:t>±10.19***</w:t>
            </w:r>
          </w:p>
        </w:tc>
        <w:tc>
          <w:tcPr>
            <w:tcW w:w="1895" w:type="dxa"/>
          </w:tcPr>
          <w:p w14:paraId="631BE5AE" w14:textId="77777777" w:rsidR="009C57F3" w:rsidRDefault="009C57F3" w:rsidP="002154AD">
            <w:pPr>
              <w:spacing w:line="480" w:lineRule="auto"/>
              <w:jc w:val="center"/>
            </w:pPr>
            <w:r>
              <w:t>187.5</w:t>
            </w:r>
            <w:r w:rsidRPr="009E0775">
              <w:rPr>
                <w:sz w:val="20"/>
                <w:szCs w:val="20"/>
              </w:rPr>
              <w:t>±4.23**</w:t>
            </w:r>
          </w:p>
        </w:tc>
      </w:tr>
      <w:tr w:rsidR="009C57F3" w14:paraId="08D9F515" w14:textId="77777777" w:rsidTr="002154AD">
        <w:trPr>
          <w:trHeight w:val="307"/>
        </w:trPr>
        <w:tc>
          <w:tcPr>
            <w:tcW w:w="1668" w:type="dxa"/>
          </w:tcPr>
          <w:p w14:paraId="06A8A43F" w14:textId="77777777" w:rsidR="009C57F3" w:rsidRDefault="009C57F3" w:rsidP="002154AD">
            <w:pPr>
              <w:spacing w:line="480" w:lineRule="auto"/>
              <w:jc w:val="center"/>
            </w:pPr>
            <w:r>
              <w:t>Sperm motility</w:t>
            </w:r>
          </w:p>
        </w:tc>
        <w:tc>
          <w:tcPr>
            <w:tcW w:w="1670" w:type="dxa"/>
          </w:tcPr>
          <w:p w14:paraId="0EB1C3D4" w14:textId="77777777" w:rsidR="009C57F3" w:rsidRDefault="009C57F3" w:rsidP="002154AD">
            <w:pPr>
              <w:spacing w:line="480" w:lineRule="auto"/>
              <w:jc w:val="center"/>
            </w:pPr>
            <w:r>
              <w:t>47.8</w:t>
            </w:r>
            <w:r w:rsidRPr="009E0775">
              <w:rPr>
                <w:sz w:val="20"/>
                <w:szCs w:val="20"/>
              </w:rPr>
              <w:t>±4.36</w:t>
            </w:r>
          </w:p>
        </w:tc>
        <w:tc>
          <w:tcPr>
            <w:tcW w:w="1888" w:type="dxa"/>
          </w:tcPr>
          <w:p w14:paraId="54B265AB" w14:textId="77777777" w:rsidR="009C57F3" w:rsidRDefault="009C57F3" w:rsidP="002154AD">
            <w:pPr>
              <w:spacing w:line="480" w:lineRule="auto"/>
              <w:jc w:val="center"/>
            </w:pPr>
            <w:r>
              <w:t>53.5</w:t>
            </w:r>
            <w:r w:rsidRPr="009E0775">
              <w:rPr>
                <w:sz w:val="20"/>
                <w:szCs w:val="20"/>
              </w:rPr>
              <w:t>±4.89</w:t>
            </w:r>
          </w:p>
        </w:tc>
        <w:tc>
          <w:tcPr>
            <w:tcW w:w="2157" w:type="dxa"/>
          </w:tcPr>
          <w:p w14:paraId="5AF3402A" w14:textId="77777777" w:rsidR="009C57F3" w:rsidRDefault="009C57F3" w:rsidP="002154AD">
            <w:pPr>
              <w:spacing w:line="480" w:lineRule="auto"/>
              <w:jc w:val="center"/>
            </w:pPr>
            <w:r>
              <w:t>66.63</w:t>
            </w:r>
            <w:r w:rsidRPr="009E0775">
              <w:rPr>
                <w:sz w:val="20"/>
                <w:szCs w:val="20"/>
              </w:rPr>
              <w:t>±4.22***</w:t>
            </w:r>
          </w:p>
        </w:tc>
        <w:tc>
          <w:tcPr>
            <w:tcW w:w="1895" w:type="dxa"/>
          </w:tcPr>
          <w:p w14:paraId="40F16C71" w14:textId="77777777" w:rsidR="009C57F3" w:rsidRDefault="009C57F3" w:rsidP="002154AD">
            <w:pPr>
              <w:spacing w:line="480" w:lineRule="auto"/>
              <w:jc w:val="center"/>
            </w:pPr>
            <w:r>
              <w:t>55.0</w:t>
            </w:r>
            <w:r w:rsidRPr="009E0775">
              <w:rPr>
                <w:sz w:val="20"/>
                <w:szCs w:val="20"/>
              </w:rPr>
              <w:t>±3.79*</w:t>
            </w:r>
          </w:p>
        </w:tc>
      </w:tr>
      <w:tr w:rsidR="009C57F3" w14:paraId="63B6CBCF" w14:textId="77777777" w:rsidTr="002154AD">
        <w:trPr>
          <w:trHeight w:val="307"/>
        </w:trPr>
        <w:tc>
          <w:tcPr>
            <w:tcW w:w="1668" w:type="dxa"/>
          </w:tcPr>
          <w:p w14:paraId="2C9BEBCA" w14:textId="77777777" w:rsidR="009C57F3" w:rsidRDefault="009C57F3" w:rsidP="002154AD">
            <w:pPr>
              <w:spacing w:line="480" w:lineRule="auto"/>
              <w:jc w:val="center"/>
            </w:pPr>
            <w:proofErr w:type="spellStart"/>
            <w:r>
              <w:t>Prog</w:t>
            </w:r>
            <w:proofErr w:type="spellEnd"/>
            <w:r>
              <w:t xml:space="preserve">. </w:t>
            </w:r>
            <w:proofErr w:type="gramStart"/>
            <w:r>
              <w:t>motility</w:t>
            </w:r>
            <w:proofErr w:type="gramEnd"/>
          </w:p>
        </w:tc>
        <w:tc>
          <w:tcPr>
            <w:tcW w:w="1670" w:type="dxa"/>
          </w:tcPr>
          <w:p w14:paraId="74B170F5" w14:textId="77777777" w:rsidR="009C57F3" w:rsidRDefault="009C57F3" w:rsidP="002154AD">
            <w:pPr>
              <w:spacing w:line="480" w:lineRule="auto"/>
              <w:jc w:val="center"/>
            </w:pPr>
            <w:r>
              <w:t>15.5</w:t>
            </w:r>
            <w:r w:rsidRPr="009E0775">
              <w:rPr>
                <w:sz w:val="20"/>
                <w:szCs w:val="20"/>
              </w:rPr>
              <w:t>±1.76</w:t>
            </w:r>
          </w:p>
        </w:tc>
        <w:tc>
          <w:tcPr>
            <w:tcW w:w="1888" w:type="dxa"/>
          </w:tcPr>
          <w:p w14:paraId="56475945" w14:textId="77777777" w:rsidR="009C57F3" w:rsidRDefault="009C57F3" w:rsidP="002154AD">
            <w:pPr>
              <w:spacing w:line="480" w:lineRule="auto"/>
              <w:jc w:val="center"/>
            </w:pPr>
            <w:r>
              <w:t>18.33</w:t>
            </w:r>
            <w:r w:rsidRPr="009E0775">
              <w:rPr>
                <w:sz w:val="20"/>
                <w:szCs w:val="20"/>
              </w:rPr>
              <w:t>±1.75*</w:t>
            </w:r>
          </w:p>
        </w:tc>
        <w:tc>
          <w:tcPr>
            <w:tcW w:w="2157" w:type="dxa"/>
          </w:tcPr>
          <w:p w14:paraId="0A38860F" w14:textId="77777777" w:rsidR="009C57F3" w:rsidRDefault="009C57F3" w:rsidP="002154AD">
            <w:pPr>
              <w:spacing w:line="480" w:lineRule="auto"/>
              <w:jc w:val="center"/>
            </w:pPr>
            <w:r>
              <w:t>22.17</w:t>
            </w:r>
            <w:r w:rsidRPr="009E0775">
              <w:rPr>
                <w:sz w:val="20"/>
                <w:szCs w:val="20"/>
              </w:rPr>
              <w:t>±2.29**</w:t>
            </w:r>
          </w:p>
        </w:tc>
        <w:tc>
          <w:tcPr>
            <w:tcW w:w="1895" w:type="dxa"/>
          </w:tcPr>
          <w:p w14:paraId="357BA6B2" w14:textId="77777777" w:rsidR="009C57F3" w:rsidRDefault="009C57F3" w:rsidP="002154AD">
            <w:pPr>
              <w:spacing w:line="480" w:lineRule="auto"/>
              <w:jc w:val="center"/>
            </w:pPr>
            <w:r>
              <w:t>18.67</w:t>
            </w:r>
            <w:r w:rsidRPr="009E0775">
              <w:rPr>
                <w:sz w:val="20"/>
                <w:szCs w:val="20"/>
              </w:rPr>
              <w:t>±2.58*</w:t>
            </w:r>
          </w:p>
        </w:tc>
      </w:tr>
    </w:tbl>
    <w:p w14:paraId="76B5B989" w14:textId="77777777" w:rsidR="001103AF" w:rsidRDefault="009C57F3" w:rsidP="009C57F3">
      <w:pPr>
        <w:spacing w:line="480" w:lineRule="auto"/>
        <w:ind w:left="-142"/>
        <w:rPr>
          <w:sz w:val="16"/>
          <w:szCs w:val="16"/>
          <w:lang w:val="en-IN"/>
        </w:rPr>
      </w:pPr>
      <w:r>
        <w:rPr>
          <w:sz w:val="16"/>
          <w:szCs w:val="16"/>
          <w:lang w:val="en-IN"/>
        </w:rPr>
        <w:t xml:space="preserve"> </w:t>
      </w:r>
      <w:bookmarkStart w:id="0" w:name="_GoBack"/>
      <w:bookmarkEnd w:id="0"/>
    </w:p>
    <w:p w14:paraId="349BA7D8" w14:textId="77777777" w:rsidR="009C57F3" w:rsidRDefault="009C57F3" w:rsidP="009C57F3">
      <w:pPr>
        <w:spacing w:line="480" w:lineRule="auto"/>
        <w:ind w:left="-142"/>
        <w:rPr>
          <w:sz w:val="16"/>
          <w:szCs w:val="16"/>
          <w:lang w:val="en-IN"/>
        </w:rPr>
      </w:pPr>
      <w:r>
        <w:rPr>
          <w:sz w:val="16"/>
          <w:szCs w:val="16"/>
          <w:lang w:val="en-IN"/>
        </w:rPr>
        <w:t>T</w:t>
      </w:r>
      <w:r w:rsidRPr="00495DD3">
        <w:rPr>
          <w:sz w:val="16"/>
          <w:szCs w:val="16"/>
          <w:lang w:val="en-IN"/>
        </w:rPr>
        <w:t xml:space="preserve">he values (mean </w:t>
      </w:r>
      <w:r w:rsidRPr="00495DD3">
        <w:rPr>
          <w:sz w:val="16"/>
          <w:szCs w:val="16"/>
          <w:u w:val="single"/>
          <w:lang w:val="en-IN"/>
        </w:rPr>
        <w:t>+</w:t>
      </w:r>
      <w:r w:rsidRPr="00495DD3">
        <w:rPr>
          <w:sz w:val="16"/>
          <w:szCs w:val="16"/>
          <w:lang w:val="en-IN"/>
        </w:rPr>
        <w:t xml:space="preserve"> SD) are average of data for 6 animals.</w:t>
      </w:r>
      <w:r w:rsidRPr="00495DD3">
        <w:rPr>
          <w:sz w:val="16"/>
          <w:szCs w:val="16"/>
        </w:rPr>
        <w:t xml:space="preserve"> Statistical significance is indicated as</w:t>
      </w:r>
      <w:r w:rsidRPr="00495DD3">
        <w:rPr>
          <w:sz w:val="16"/>
          <w:szCs w:val="16"/>
          <w:lang w:val="en-IN"/>
        </w:rPr>
        <w:t xml:space="preserve"> * P &lt; 0.05, ** P &lt; 0.005, *** P &lt; 0.0005.</w:t>
      </w:r>
    </w:p>
    <w:p w14:paraId="5282D2AC" w14:textId="77777777" w:rsidR="009C57F3" w:rsidRDefault="009C57F3" w:rsidP="009C57F3">
      <w:pPr>
        <w:spacing w:line="480" w:lineRule="auto"/>
      </w:pPr>
    </w:p>
    <w:p w14:paraId="7FD8FC14" w14:textId="77777777" w:rsidR="009C57F3" w:rsidRDefault="009C57F3" w:rsidP="009C57F3">
      <w:pPr>
        <w:spacing w:line="480" w:lineRule="auto"/>
        <w:ind w:hanging="142"/>
        <w:jc w:val="both"/>
      </w:pPr>
      <w:r>
        <w:rPr>
          <w:b/>
        </w:rPr>
        <w:t xml:space="preserve">  </w:t>
      </w:r>
      <w:r w:rsidRPr="008607E7">
        <w:rPr>
          <w:b/>
        </w:rPr>
        <w:t>Foot note</w:t>
      </w:r>
      <w:r>
        <w:t xml:space="preserve">: Based on earlier studies demonstrating effects of </w:t>
      </w:r>
      <w:r w:rsidRPr="0004343E">
        <w:rPr>
          <w:i/>
        </w:rPr>
        <w:t>M.</w:t>
      </w:r>
      <w:r>
        <w:rPr>
          <w:i/>
        </w:rPr>
        <w:t xml:space="preserve"> </w:t>
      </w:r>
      <w:proofErr w:type="spellStart"/>
      <w:r w:rsidRPr="0004343E">
        <w:rPr>
          <w:i/>
        </w:rPr>
        <w:t>pruriens</w:t>
      </w:r>
      <w:proofErr w:type="spellEnd"/>
      <w:r>
        <w:t xml:space="preserve"> on sperm parameters (Suresh et al, 2010), we tried 200 mg/kg, 300 mg/kg and 400 mg/kg BW/day for treatment of </w:t>
      </w:r>
      <w:proofErr w:type="spellStart"/>
      <w:r>
        <w:t>spermatogenic</w:t>
      </w:r>
      <w:proofErr w:type="spellEnd"/>
      <w:r>
        <w:t xml:space="preserve"> loss and compared it with auto-recovery (no treatment) group after a period of 56 days. The best response was seen using 300 mg/kg, which was selected as experimental dose.</w:t>
      </w:r>
    </w:p>
    <w:p w14:paraId="424B852D" w14:textId="77777777" w:rsidR="009C57F3" w:rsidRDefault="009C57F3" w:rsidP="009C57F3">
      <w:pPr>
        <w:spacing w:line="480" w:lineRule="auto"/>
        <w:jc w:val="both"/>
      </w:pPr>
    </w:p>
    <w:p w14:paraId="6640D734" w14:textId="77777777" w:rsidR="009C57F3" w:rsidRPr="00503098" w:rsidRDefault="009C57F3" w:rsidP="009C57F3">
      <w:pPr>
        <w:spacing w:line="480" w:lineRule="auto"/>
        <w:jc w:val="both"/>
        <w:rPr>
          <w:b/>
          <w:u w:val="single"/>
          <w:lang w:val="en-IN"/>
        </w:rPr>
      </w:pPr>
      <w:r w:rsidRPr="00503098">
        <w:rPr>
          <w:b/>
          <w:u w:val="single"/>
          <w:lang w:val="en-IN"/>
        </w:rPr>
        <w:t>Reference</w:t>
      </w:r>
    </w:p>
    <w:p w14:paraId="608CC725" w14:textId="77777777" w:rsidR="009C57F3" w:rsidRDefault="009C57F3" w:rsidP="009C57F3">
      <w:pPr>
        <w:spacing w:line="480" w:lineRule="auto"/>
        <w:ind w:left="-142"/>
        <w:jc w:val="both"/>
        <w:rPr>
          <w:lang w:val="en-IN"/>
        </w:rPr>
      </w:pPr>
    </w:p>
    <w:p w14:paraId="13C0CDCE" w14:textId="77777777" w:rsidR="009C57F3" w:rsidRPr="0004343E" w:rsidRDefault="009C57F3" w:rsidP="009C57F3">
      <w:pPr>
        <w:spacing w:line="480" w:lineRule="auto"/>
        <w:jc w:val="both"/>
        <w:rPr>
          <w:lang w:val="en-IN"/>
        </w:rPr>
      </w:pPr>
      <w:r w:rsidRPr="0004343E">
        <w:rPr>
          <w:lang w:val="en-IN"/>
        </w:rPr>
        <w:t xml:space="preserve">Suresh S, Prithiviraj E, Prakash S (2010) Effect of </w:t>
      </w:r>
      <w:r w:rsidRPr="00503098">
        <w:rPr>
          <w:i/>
          <w:lang w:val="en-IN"/>
        </w:rPr>
        <w:t xml:space="preserve">Mucuna pruriens </w:t>
      </w:r>
      <w:r w:rsidRPr="0004343E">
        <w:rPr>
          <w:lang w:val="en-IN"/>
        </w:rPr>
        <w:t>on oxidative stress mediated damage in aged rat sperm. Int J Androl 33: 22-32.</w:t>
      </w:r>
    </w:p>
    <w:p w14:paraId="66A418DF" w14:textId="77777777" w:rsidR="009C57F3" w:rsidRDefault="009C57F3" w:rsidP="009C57F3">
      <w:pPr>
        <w:spacing w:line="480" w:lineRule="auto"/>
        <w:ind w:left="-709"/>
      </w:pPr>
    </w:p>
    <w:p w14:paraId="405B1654" w14:textId="77777777" w:rsidR="009C57F3" w:rsidRDefault="009C57F3" w:rsidP="009C57F3">
      <w:pPr>
        <w:jc w:val="both"/>
        <w:rPr>
          <w:b/>
        </w:rPr>
      </w:pPr>
    </w:p>
    <w:p w14:paraId="01745CE7" w14:textId="77777777" w:rsidR="00655807" w:rsidRDefault="00655807"/>
    <w:sectPr w:rsidR="00655807" w:rsidSect="0019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F3"/>
    <w:rsid w:val="001103AF"/>
    <w:rsid w:val="00655807"/>
    <w:rsid w:val="009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7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F3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F3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>CDRI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Rajender Singh</dc:creator>
  <cp:keywords/>
  <dc:description/>
  <cp:lastModifiedBy>Dr. Rajender Singh</cp:lastModifiedBy>
  <cp:revision>2</cp:revision>
  <dcterms:created xsi:type="dcterms:W3CDTF">2012-12-24T06:15:00Z</dcterms:created>
  <dcterms:modified xsi:type="dcterms:W3CDTF">2012-12-24T06:27:00Z</dcterms:modified>
</cp:coreProperties>
</file>