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D" w:rsidRPr="00F07443" w:rsidRDefault="00EE67ED" w:rsidP="00EE67ED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Supplementary Table S3</w:t>
      </w:r>
      <w:r w:rsidRPr="0002096A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proofErr w:type="gramEnd"/>
      <w:r w:rsidRPr="0002096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F074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Lab values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in subjects who underwent cholecystectomy prior to</w:t>
      </w:r>
      <w:r w:rsidRPr="00F074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endoscopic retrograde </w:t>
      </w:r>
      <w:proofErr w:type="spellStart"/>
      <w:r w:rsidRPr="00F07443">
        <w:rPr>
          <w:rFonts w:ascii="Arial" w:hAnsi="Arial" w:cs="Arial"/>
          <w:b/>
          <w:color w:val="000000"/>
          <w:sz w:val="22"/>
          <w:szCs w:val="22"/>
          <w:lang w:val="en-GB"/>
        </w:rPr>
        <w:t>cholangio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pancreatography</w:t>
      </w:r>
      <w:proofErr w:type="spellEnd"/>
    </w:p>
    <w:p w:rsidR="00EE67ED" w:rsidRPr="0002096A" w:rsidRDefault="00EE67ED" w:rsidP="00EE67ED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958"/>
        <w:gridCol w:w="706"/>
        <w:gridCol w:w="691"/>
        <w:gridCol w:w="616"/>
        <w:gridCol w:w="593"/>
        <w:gridCol w:w="595"/>
        <w:gridCol w:w="593"/>
        <w:gridCol w:w="595"/>
        <w:gridCol w:w="622"/>
        <w:gridCol w:w="595"/>
        <w:gridCol w:w="695"/>
        <w:gridCol w:w="608"/>
        <w:gridCol w:w="595"/>
      </w:tblGrid>
      <w:tr w:rsidR="00EE67ED" w:rsidRPr="00525D7E" w:rsidTr="008F78AA">
        <w:tc>
          <w:tcPr>
            <w:tcW w:w="1792" w:type="dxa"/>
            <w:gridSpan w:val="2"/>
            <w:vMerge w:val="restart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AP (U/l)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GGT (U/l)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D7E">
              <w:rPr>
                <w:rFonts w:ascii="Arial" w:hAnsi="Arial" w:cs="Arial"/>
                <w:sz w:val="20"/>
                <w:szCs w:val="20"/>
              </w:rPr>
              <w:t>Bili</w:t>
            </w:r>
            <w:proofErr w:type="spellEnd"/>
            <w:r w:rsidRPr="00525D7E">
              <w:rPr>
                <w:rFonts w:ascii="Arial" w:hAnsi="Arial" w:cs="Arial"/>
                <w:sz w:val="20"/>
                <w:szCs w:val="20"/>
              </w:rPr>
              <w:t xml:space="preserve"> (µ</w:t>
            </w:r>
            <w:proofErr w:type="spellStart"/>
            <w:r w:rsidRPr="00525D7E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525D7E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AST (U/l)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ALT (U/l)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CRP (mg/l)</w:t>
            </w:r>
          </w:p>
        </w:tc>
      </w:tr>
      <w:tr w:rsidR="00EE67ED" w:rsidRPr="00525D7E" w:rsidTr="008F78AA"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EE67ED" w:rsidRPr="00525D7E" w:rsidTr="008F78AA">
        <w:tc>
          <w:tcPr>
            <w:tcW w:w="828" w:type="dxa"/>
            <w:vMerge w:val="restart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D7E">
              <w:rPr>
                <w:rFonts w:ascii="Arial" w:hAnsi="Arial" w:cs="Arial"/>
                <w:sz w:val="20"/>
                <w:szCs w:val="20"/>
              </w:rPr>
              <w:t>Before</w:t>
            </w:r>
            <w:proofErr w:type="spellEnd"/>
          </w:p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ERCP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&gt;3mo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92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72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47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20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29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1-12wk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85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72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35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20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25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4-7d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1-2d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64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153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E67ED" w:rsidRPr="00525D7E" w:rsidTr="008F78AA">
        <w:tc>
          <w:tcPr>
            <w:tcW w:w="1792" w:type="dxa"/>
            <w:gridSpan w:val="2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ERCP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53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136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89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243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E67ED" w:rsidRPr="00525D7E" w:rsidTr="008F78AA">
        <w:tc>
          <w:tcPr>
            <w:tcW w:w="828" w:type="dxa"/>
            <w:vMerge w:val="restart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After ERCP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19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56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42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140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4-7d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104</w:t>
            </w:r>
            <w:r w:rsidRPr="00525D7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1-12wk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67ED" w:rsidRPr="00525D7E" w:rsidTr="008F78AA">
        <w:tc>
          <w:tcPr>
            <w:tcW w:w="828" w:type="dxa"/>
            <w:vMerge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&gt;3mo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67ED" w:rsidRPr="00525D7E" w:rsidRDefault="00EE67ED" w:rsidP="008F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D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E67ED" w:rsidRPr="00F07443" w:rsidRDefault="00EE67ED" w:rsidP="00EE67ED">
      <w:pPr>
        <w:rPr>
          <w:rFonts w:ascii="Arial" w:hAnsi="Arial" w:cs="Arial"/>
          <w:sz w:val="22"/>
          <w:szCs w:val="22"/>
          <w:lang w:val="en-GB"/>
        </w:rPr>
      </w:pPr>
      <w:r w:rsidRPr="00F07443">
        <w:rPr>
          <w:rFonts w:ascii="Arial" w:hAnsi="Arial" w:cs="Arial"/>
          <w:sz w:val="22"/>
          <w:szCs w:val="22"/>
          <w:lang w:val="en-GB"/>
        </w:rPr>
        <w:t>Median values are shown. Calculation of statistical sig</w:t>
      </w:r>
      <w:bookmarkStart w:id="0" w:name="_GoBack"/>
      <w:bookmarkEnd w:id="0"/>
      <w:r w:rsidRPr="00F07443">
        <w:rPr>
          <w:rFonts w:ascii="Arial" w:hAnsi="Arial" w:cs="Arial"/>
          <w:sz w:val="22"/>
          <w:szCs w:val="22"/>
          <w:lang w:val="en-GB"/>
        </w:rPr>
        <w:t>nificance is based on a two-tailed Mann-U-Whitney test.</w:t>
      </w:r>
    </w:p>
    <w:p w:rsidR="00EE67ED" w:rsidRPr="00F07443" w:rsidRDefault="00EE67ED" w:rsidP="00EE67ED">
      <w:pPr>
        <w:rPr>
          <w:rFonts w:ascii="Arial" w:hAnsi="Arial" w:cs="Arial"/>
          <w:sz w:val="22"/>
          <w:szCs w:val="22"/>
          <w:lang w:val="en-GB"/>
        </w:rPr>
      </w:pPr>
      <w:r w:rsidRPr="00F07443">
        <w:rPr>
          <w:rFonts w:ascii="Arial" w:hAnsi="Arial" w:cs="Arial"/>
          <w:sz w:val="22"/>
          <w:szCs w:val="22"/>
          <w:lang w:val="en-GB"/>
        </w:rPr>
        <w:t>AP, alkaline phosphatase; GGT</w:t>
      </w:r>
      <w:r w:rsidRPr="00EE67ED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5" w:history="1">
        <w:r w:rsidRPr="00EE67E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 xml:space="preserve">gamma </w:t>
        </w:r>
        <w:proofErr w:type="spellStart"/>
        <w:r w:rsidRPr="00EE67E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glutamyl</w:t>
        </w:r>
        <w:proofErr w:type="spellEnd"/>
        <w:r w:rsidRPr="00EE67E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 xml:space="preserve"> </w:t>
        </w:r>
        <w:proofErr w:type="spellStart"/>
        <w:r w:rsidRPr="00EE67ED">
          <w:rPr>
            <w:rStyle w:val="Hervorhebung"/>
            <w:rFonts w:ascii="Arial" w:hAnsi="Arial" w:cs="Arial"/>
            <w:i w:val="0"/>
            <w:sz w:val="22"/>
            <w:szCs w:val="22"/>
            <w:lang w:val="en-GB"/>
          </w:rPr>
          <w:t>transferase</w:t>
        </w:r>
        <w:proofErr w:type="spellEnd"/>
      </w:hyperlink>
      <w:r w:rsidRPr="00F07443">
        <w:rPr>
          <w:rFonts w:ascii="Arial" w:hAnsi="Arial" w:cs="Arial"/>
          <w:sz w:val="22"/>
          <w:szCs w:val="22"/>
          <w:lang w:val="en-GB"/>
        </w:rPr>
        <w:t xml:space="preserve">; </w:t>
      </w:r>
      <w:proofErr w:type="spellStart"/>
      <w:r w:rsidRPr="00F07443">
        <w:rPr>
          <w:rFonts w:ascii="Arial" w:hAnsi="Arial" w:cs="Arial"/>
          <w:sz w:val="22"/>
          <w:szCs w:val="22"/>
          <w:lang w:val="en-GB"/>
        </w:rPr>
        <w:t>Bili</w:t>
      </w:r>
      <w:proofErr w:type="spellEnd"/>
      <w:r w:rsidRPr="00F07443">
        <w:rPr>
          <w:rFonts w:ascii="Arial" w:hAnsi="Arial" w:cs="Arial"/>
          <w:sz w:val="22"/>
          <w:szCs w:val="22"/>
          <w:lang w:val="en-GB"/>
        </w:rPr>
        <w:t xml:space="preserve">, bilirubin; AST, aspartate transaminase; ALT, alanine transaminase; AP, alkaline phosphatase; d, day; </w:t>
      </w:r>
      <w:proofErr w:type="spellStart"/>
      <w:r w:rsidRPr="00F07443">
        <w:rPr>
          <w:rFonts w:ascii="Arial" w:hAnsi="Arial" w:cs="Arial"/>
          <w:sz w:val="22"/>
          <w:szCs w:val="22"/>
          <w:lang w:val="en-GB"/>
        </w:rPr>
        <w:t>wk</w:t>
      </w:r>
      <w:proofErr w:type="spellEnd"/>
      <w:r w:rsidRPr="00F07443">
        <w:rPr>
          <w:rFonts w:ascii="Arial" w:hAnsi="Arial" w:cs="Arial"/>
          <w:sz w:val="22"/>
          <w:szCs w:val="22"/>
          <w:lang w:val="en-GB"/>
        </w:rPr>
        <w:t xml:space="preserve">, week; </w:t>
      </w:r>
      <w:proofErr w:type="spellStart"/>
      <w:r w:rsidRPr="00F07443">
        <w:rPr>
          <w:rFonts w:ascii="Arial" w:hAnsi="Arial" w:cs="Arial"/>
          <w:sz w:val="22"/>
          <w:szCs w:val="22"/>
          <w:lang w:val="en-GB"/>
        </w:rPr>
        <w:t>mo</w:t>
      </w:r>
      <w:proofErr w:type="spellEnd"/>
      <w:r w:rsidRPr="00F07443">
        <w:rPr>
          <w:rFonts w:ascii="Arial" w:hAnsi="Arial" w:cs="Arial"/>
          <w:sz w:val="22"/>
          <w:szCs w:val="22"/>
          <w:lang w:val="en-GB"/>
        </w:rPr>
        <w:t xml:space="preserve">, month; ERCP, endoscopic retrograde </w:t>
      </w:r>
      <w:proofErr w:type="spellStart"/>
      <w:r w:rsidRPr="00F07443">
        <w:rPr>
          <w:rFonts w:ascii="Arial" w:hAnsi="Arial" w:cs="Arial"/>
          <w:sz w:val="22"/>
          <w:szCs w:val="22"/>
          <w:lang w:val="en-GB"/>
        </w:rPr>
        <w:t>cholangiopancreatography</w:t>
      </w:r>
      <w:proofErr w:type="spellEnd"/>
      <w:r w:rsidRPr="00F07443">
        <w:rPr>
          <w:rFonts w:ascii="Arial" w:hAnsi="Arial" w:cs="Arial"/>
          <w:sz w:val="22"/>
          <w:szCs w:val="22"/>
          <w:lang w:val="en-GB"/>
        </w:rPr>
        <w:t xml:space="preserve">; </w:t>
      </w:r>
      <w:r>
        <w:rPr>
          <w:rFonts w:ascii="Arial" w:hAnsi="Arial" w:cs="Arial"/>
          <w:sz w:val="22"/>
          <w:szCs w:val="22"/>
          <w:lang w:val="en-GB"/>
        </w:rPr>
        <w:t>OB, “oblique”</w:t>
      </w:r>
      <w:r w:rsidRPr="00F07443">
        <w:rPr>
          <w:rFonts w:ascii="Arial" w:hAnsi="Arial" w:cs="Arial"/>
          <w:sz w:val="22"/>
          <w:szCs w:val="22"/>
          <w:lang w:val="en-GB"/>
        </w:rPr>
        <w:t xml:space="preserve"> bile duct; Co, Controls</w:t>
      </w:r>
    </w:p>
    <w:p w:rsidR="00EE67ED" w:rsidRPr="00CC7247" w:rsidRDefault="00EE67ED" w:rsidP="00EE67ED">
      <w:pPr>
        <w:rPr>
          <w:rFonts w:ascii="Arial" w:hAnsi="Arial" w:cs="Arial"/>
          <w:sz w:val="22"/>
          <w:szCs w:val="22"/>
          <w:lang w:val="en-GB"/>
        </w:rPr>
      </w:pPr>
    </w:p>
    <w:p w:rsidR="00EE67ED" w:rsidRPr="00CC7247" w:rsidRDefault="00EE67ED" w:rsidP="00EE67ED">
      <w:pPr>
        <w:rPr>
          <w:rFonts w:ascii="Arial" w:hAnsi="Arial" w:cs="Arial"/>
          <w:sz w:val="22"/>
          <w:szCs w:val="22"/>
          <w:lang w:val="en-GB"/>
        </w:rPr>
      </w:pP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p=0.03</w:t>
      </w:r>
      <w:r w:rsidRPr="00CC7247">
        <w:rPr>
          <w:rFonts w:ascii="Arial" w:hAnsi="Arial" w:cs="Arial"/>
          <w:sz w:val="22"/>
          <w:szCs w:val="22"/>
          <w:lang w:val="en-GB"/>
        </w:rPr>
        <w:t>;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 xml:space="preserve">p=0.006;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p=0.0001;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 xml:space="preserve">p=0.09;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p=0.03;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6</w:t>
      </w:r>
      <w:r>
        <w:rPr>
          <w:rFonts w:ascii="Arial" w:hAnsi="Arial" w:cs="Arial"/>
          <w:sz w:val="22"/>
          <w:szCs w:val="22"/>
          <w:lang w:val="en-GB"/>
        </w:rPr>
        <w:t xml:space="preserve">p=0.01;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p=0.06;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p=0.05;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9</w:t>
      </w:r>
      <w:r w:rsidRPr="00CC7247">
        <w:rPr>
          <w:rFonts w:ascii="Arial" w:hAnsi="Arial" w:cs="Arial"/>
          <w:sz w:val="22"/>
          <w:szCs w:val="22"/>
          <w:lang w:val="en-GB"/>
        </w:rPr>
        <w:t>p=0.0</w:t>
      </w:r>
      <w:r>
        <w:rPr>
          <w:rFonts w:ascii="Arial" w:hAnsi="Arial" w:cs="Arial"/>
          <w:sz w:val="22"/>
          <w:szCs w:val="22"/>
          <w:lang w:val="en-GB"/>
        </w:rPr>
        <w:t xml:space="preserve">2;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10</w:t>
      </w:r>
      <w:r>
        <w:rPr>
          <w:rFonts w:ascii="Arial" w:hAnsi="Arial" w:cs="Arial"/>
          <w:sz w:val="22"/>
          <w:szCs w:val="22"/>
          <w:lang w:val="en-GB"/>
        </w:rPr>
        <w:t xml:space="preserve">p=0.007;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11</w:t>
      </w:r>
      <w:r>
        <w:rPr>
          <w:rFonts w:ascii="Arial" w:hAnsi="Arial" w:cs="Arial"/>
          <w:sz w:val="22"/>
          <w:szCs w:val="22"/>
          <w:lang w:val="en-GB"/>
        </w:rPr>
        <w:t xml:space="preserve">p=0.003; </w:t>
      </w:r>
      <w:r w:rsidRPr="00CC7247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p=0.02</w:t>
      </w:r>
    </w:p>
    <w:p w:rsidR="00CD522D" w:rsidRPr="00EE67ED" w:rsidRDefault="00EE67ED">
      <w:pPr>
        <w:rPr>
          <w:lang w:val="en-GB"/>
        </w:rPr>
      </w:pPr>
    </w:p>
    <w:sectPr w:rsidR="00CD522D" w:rsidRPr="00EE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D"/>
    <w:rsid w:val="005B4876"/>
    <w:rsid w:val="00EE67ED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E67ED"/>
    <w:rPr>
      <w:color w:val="0000FF"/>
      <w:u w:val="single"/>
    </w:rPr>
  </w:style>
  <w:style w:type="character" w:styleId="Hervorhebung">
    <w:name w:val="Emphasis"/>
    <w:qFormat/>
    <w:rsid w:val="00EE6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E67ED"/>
    <w:rPr>
      <w:color w:val="0000FF"/>
      <w:u w:val="single"/>
    </w:rPr>
  </w:style>
  <w:style w:type="character" w:styleId="Hervorhebung">
    <w:name w:val="Emphasis"/>
    <w:qFormat/>
    <w:rsid w:val="00EE6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freedictionary.com/gamma+glutamyl+transferase+%28GGT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Strnad, Pavel</dc:creator>
  <cp:lastModifiedBy>Strnad, Pavel</cp:lastModifiedBy>
  <cp:revision>1</cp:revision>
  <dcterms:created xsi:type="dcterms:W3CDTF">2012-12-30T07:37:00Z</dcterms:created>
  <dcterms:modified xsi:type="dcterms:W3CDTF">2012-12-30T07:37:00Z</dcterms:modified>
</cp:coreProperties>
</file>