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FB" w:rsidRPr="003751F4" w:rsidRDefault="008905FB" w:rsidP="008905FB">
      <w:pPr>
        <w:spacing w:after="200" w:line="276" w:lineRule="auto"/>
        <w:rPr>
          <w:rFonts w:cs="Times New Roman"/>
          <w:bCs/>
          <w:szCs w:val="24"/>
        </w:rPr>
      </w:pPr>
      <w:r w:rsidRPr="003751F4">
        <w:rPr>
          <w:rFonts w:cs="Times New Roman"/>
          <w:b/>
          <w:bCs/>
          <w:szCs w:val="24"/>
        </w:rPr>
        <w:t xml:space="preserve">Table </w:t>
      </w:r>
      <w:r w:rsidR="00721BD3">
        <w:rPr>
          <w:rFonts w:cs="Times New Roman"/>
          <w:b/>
          <w:bCs/>
          <w:szCs w:val="24"/>
        </w:rPr>
        <w:t>S1</w:t>
      </w:r>
      <w:r w:rsidRPr="003751F4">
        <w:rPr>
          <w:rFonts w:cs="Times New Roman"/>
          <w:szCs w:val="24"/>
        </w:rPr>
        <w:t xml:space="preserve">: Effects of DUOX </w:t>
      </w:r>
      <w:proofErr w:type="spellStart"/>
      <w:r w:rsidRPr="003751F4">
        <w:rPr>
          <w:rFonts w:cs="Times New Roman"/>
          <w:szCs w:val="24"/>
        </w:rPr>
        <w:t>siRNA</w:t>
      </w:r>
      <w:proofErr w:type="spellEnd"/>
      <w:r w:rsidRPr="003751F4">
        <w:rPr>
          <w:rFonts w:cs="Times New Roman"/>
          <w:szCs w:val="24"/>
        </w:rPr>
        <w:t xml:space="preserve"> silencing in H292 cells on mRNA expression of P2YR and ADAM17.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905FB" w:rsidRPr="003751F4" w:rsidTr="00106A3E"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3751F4">
              <w:rPr>
                <w:rFonts w:cs="Times New Roman"/>
                <w:szCs w:val="24"/>
              </w:rPr>
              <w:t>siCTL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siDUOX1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siDUOX2</w:t>
            </w:r>
          </w:p>
        </w:tc>
      </w:tr>
      <w:tr w:rsidR="008905FB" w:rsidRPr="003751F4" w:rsidTr="00106A3E">
        <w:tc>
          <w:tcPr>
            <w:tcW w:w="2394" w:type="dxa"/>
            <w:tcBorders>
              <w:top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P2Y</w:t>
            </w:r>
            <w:r w:rsidRPr="003751F4">
              <w:rPr>
                <w:rFonts w:cs="Times New Roman"/>
                <w:szCs w:val="24"/>
                <w:vertAlign w:val="subscript"/>
              </w:rPr>
              <w:t>1</w:t>
            </w:r>
            <w:r w:rsidRPr="003751F4">
              <w:rPr>
                <w:rFonts w:cs="Times New Roman"/>
                <w:szCs w:val="24"/>
              </w:rPr>
              <w:t>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1.21 ± 0.23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0.68 ± 0.04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1.03 ± 0.20</w:t>
            </w:r>
          </w:p>
        </w:tc>
      </w:tr>
      <w:tr w:rsidR="008905FB" w:rsidRPr="003751F4" w:rsidTr="00106A3E"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P2Y</w:t>
            </w:r>
            <w:r w:rsidRPr="003751F4">
              <w:rPr>
                <w:rFonts w:cs="Times New Roman"/>
                <w:szCs w:val="24"/>
                <w:vertAlign w:val="subscript"/>
              </w:rPr>
              <w:t>2</w:t>
            </w:r>
            <w:r w:rsidRPr="003751F4">
              <w:rPr>
                <w:rFonts w:cs="Times New Roman"/>
                <w:szCs w:val="24"/>
              </w:rPr>
              <w:t>R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1.00 ± 0.06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1.42 ± 0.32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0.73 ± 0.36</w:t>
            </w:r>
          </w:p>
        </w:tc>
      </w:tr>
      <w:tr w:rsidR="008905FB" w:rsidRPr="003751F4" w:rsidTr="00106A3E"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P2Y</w:t>
            </w:r>
            <w:r w:rsidRPr="003751F4">
              <w:rPr>
                <w:rFonts w:cs="Times New Roman"/>
                <w:szCs w:val="24"/>
                <w:vertAlign w:val="subscript"/>
              </w:rPr>
              <w:t>4</w:t>
            </w:r>
            <w:r w:rsidRPr="003751F4">
              <w:rPr>
                <w:rFonts w:cs="Times New Roman"/>
                <w:szCs w:val="24"/>
              </w:rPr>
              <w:t>R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1.24 ± 0.10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1.29 ± 0.24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0.94 ± 0.11</w:t>
            </w:r>
          </w:p>
        </w:tc>
      </w:tr>
      <w:tr w:rsidR="008905FB" w:rsidRPr="003751F4" w:rsidTr="00106A3E"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P2Y</w:t>
            </w:r>
            <w:r w:rsidRPr="003751F4">
              <w:rPr>
                <w:rFonts w:cs="Times New Roman"/>
                <w:szCs w:val="24"/>
                <w:vertAlign w:val="subscript"/>
              </w:rPr>
              <w:t>6</w:t>
            </w:r>
            <w:r w:rsidRPr="003751F4">
              <w:rPr>
                <w:rFonts w:cs="Times New Roman"/>
                <w:szCs w:val="24"/>
              </w:rPr>
              <w:t>R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0.70 ± 0.15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0.40 ± 0.02</w:t>
            </w:r>
          </w:p>
        </w:tc>
        <w:tc>
          <w:tcPr>
            <w:tcW w:w="2394" w:type="dxa"/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0.81 ± 0.05</w:t>
            </w:r>
          </w:p>
        </w:tc>
      </w:tr>
      <w:tr w:rsidR="008905FB" w:rsidRPr="003751F4" w:rsidTr="00106A3E"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ADAM17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1.04 ± 0.06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1.42 ± 0.32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905FB" w:rsidRPr="003751F4" w:rsidRDefault="008905FB" w:rsidP="00106A3E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3751F4">
              <w:rPr>
                <w:rFonts w:cs="Times New Roman"/>
                <w:szCs w:val="24"/>
              </w:rPr>
              <w:t>0.73 ± 0.36</w:t>
            </w:r>
          </w:p>
        </w:tc>
      </w:tr>
    </w:tbl>
    <w:p w:rsidR="008905FB" w:rsidRPr="003751F4" w:rsidRDefault="008905FB" w:rsidP="008905FB">
      <w:pPr>
        <w:rPr>
          <w:rFonts w:cs="Times New Roman"/>
          <w:szCs w:val="24"/>
        </w:rPr>
      </w:pPr>
    </w:p>
    <w:p w:rsidR="008905FB" w:rsidRPr="003751F4" w:rsidRDefault="008905FB" w:rsidP="008905FB">
      <w:pPr>
        <w:spacing w:line="360" w:lineRule="auto"/>
        <w:rPr>
          <w:rFonts w:cs="Times New Roman"/>
          <w:szCs w:val="24"/>
        </w:rPr>
      </w:pPr>
      <w:r w:rsidRPr="003751F4">
        <w:rPr>
          <w:rFonts w:cs="Times New Roman"/>
          <w:szCs w:val="24"/>
        </w:rPr>
        <w:t xml:space="preserve">H292 cells were </w:t>
      </w:r>
      <w:proofErr w:type="spellStart"/>
      <w:r w:rsidRPr="003751F4">
        <w:rPr>
          <w:rFonts w:cs="Times New Roman"/>
          <w:szCs w:val="24"/>
        </w:rPr>
        <w:t>transfected</w:t>
      </w:r>
      <w:proofErr w:type="spellEnd"/>
      <w:r w:rsidRPr="003751F4">
        <w:rPr>
          <w:rFonts w:cs="Times New Roman"/>
          <w:szCs w:val="24"/>
        </w:rPr>
        <w:t xml:space="preserve"> with indicated </w:t>
      </w:r>
      <w:proofErr w:type="spellStart"/>
      <w:r w:rsidRPr="003751F4">
        <w:rPr>
          <w:rFonts w:cs="Times New Roman"/>
          <w:szCs w:val="24"/>
        </w:rPr>
        <w:t>siRNA</w:t>
      </w:r>
      <w:proofErr w:type="spellEnd"/>
      <w:r w:rsidRPr="003751F4">
        <w:rPr>
          <w:rFonts w:cs="Times New Roman"/>
          <w:szCs w:val="24"/>
        </w:rPr>
        <w:t xml:space="preserve"> and mRNA expression of various P2YR and of ADAM17 was performed by </w:t>
      </w:r>
      <w:proofErr w:type="spellStart"/>
      <w:r w:rsidRPr="003751F4">
        <w:rPr>
          <w:rFonts w:cs="Times New Roman"/>
          <w:szCs w:val="24"/>
        </w:rPr>
        <w:t>qPCR</w:t>
      </w:r>
      <w:proofErr w:type="spellEnd"/>
      <w:r w:rsidRPr="003751F4">
        <w:rPr>
          <w:rFonts w:cs="Times New Roman"/>
          <w:szCs w:val="24"/>
        </w:rPr>
        <w:t xml:space="preserve"> using the Ct method. Results are expressed as relative RQ values normalized to expression in </w:t>
      </w:r>
      <w:proofErr w:type="spellStart"/>
      <w:r w:rsidRPr="003751F4">
        <w:rPr>
          <w:rFonts w:cs="Times New Roman"/>
          <w:szCs w:val="24"/>
        </w:rPr>
        <w:t>untransfected</w:t>
      </w:r>
      <w:proofErr w:type="spellEnd"/>
      <w:r w:rsidRPr="003751F4">
        <w:rPr>
          <w:rFonts w:cs="Times New Roman"/>
          <w:szCs w:val="24"/>
        </w:rPr>
        <w:t xml:space="preserve"> H292 cells. Mean values SE from 2-3 analyses are shown. </w:t>
      </w:r>
    </w:p>
    <w:p w:rsidR="006D23DB" w:rsidRPr="009D3870" w:rsidRDefault="006D23DB" w:rsidP="009D3870">
      <w:pPr>
        <w:spacing w:after="200" w:line="276" w:lineRule="auto"/>
        <w:rPr>
          <w:rFonts w:cs="Times New Roman"/>
          <w:szCs w:val="24"/>
        </w:rPr>
      </w:pPr>
    </w:p>
    <w:sectPr w:rsidR="006D23DB" w:rsidRPr="009D3870" w:rsidSect="006D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13A72"/>
    <w:rsid w:val="00116464"/>
    <w:rsid w:val="00140ADF"/>
    <w:rsid w:val="001A6B74"/>
    <w:rsid w:val="003220E1"/>
    <w:rsid w:val="003A6C77"/>
    <w:rsid w:val="005328CA"/>
    <w:rsid w:val="005E7C5F"/>
    <w:rsid w:val="006B52BE"/>
    <w:rsid w:val="006D23DB"/>
    <w:rsid w:val="00711334"/>
    <w:rsid w:val="00721BD3"/>
    <w:rsid w:val="007E10C7"/>
    <w:rsid w:val="008742CD"/>
    <w:rsid w:val="008905FB"/>
    <w:rsid w:val="009C0418"/>
    <w:rsid w:val="009D3870"/>
    <w:rsid w:val="00A64347"/>
    <w:rsid w:val="00AA7B82"/>
    <w:rsid w:val="00D13A72"/>
    <w:rsid w:val="00D35D5C"/>
    <w:rsid w:val="00E002F7"/>
    <w:rsid w:val="00EE5684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7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D13A72"/>
    <w:rPr>
      <w:b/>
      <w:bCs/>
    </w:rPr>
  </w:style>
  <w:style w:type="table" w:styleId="TableGrid">
    <w:name w:val="Table Grid"/>
    <w:basedOn w:val="TableNormal"/>
    <w:uiPriority w:val="59"/>
    <w:rsid w:val="008905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7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D13A72"/>
    <w:rPr>
      <w:b/>
      <w:bCs/>
    </w:rPr>
  </w:style>
  <w:style w:type="table" w:styleId="TableGrid">
    <w:name w:val="Table Grid"/>
    <w:basedOn w:val="TableNormal"/>
    <w:uiPriority w:val="59"/>
    <w:rsid w:val="008905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UVM College of Medicine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 Van Der Vliet</dc:creator>
  <cp:lastModifiedBy>Abert Van Der Vliet</cp:lastModifiedBy>
  <cp:revision>2</cp:revision>
  <dcterms:created xsi:type="dcterms:W3CDTF">2012-12-14T19:15:00Z</dcterms:created>
  <dcterms:modified xsi:type="dcterms:W3CDTF">2012-12-14T19:15:00Z</dcterms:modified>
</cp:coreProperties>
</file>